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44"/>
          <w:szCs w:val="44"/>
          <w:lang w:eastAsia="zh-CN"/>
        </w:rPr>
      </w:pPr>
      <w:bookmarkStart w:id="0" w:name="_GoBack"/>
      <w:bookmarkEnd w:id="0"/>
      <w:r>
        <w:rPr>
          <w:rFonts w:hint="eastAsia"/>
          <w:b/>
          <w:bCs/>
          <w:sz w:val="44"/>
          <w:szCs w:val="44"/>
          <w:lang w:eastAsia="zh-CN"/>
        </w:rPr>
        <w:t>货物和服务项目询价文件</w:t>
      </w:r>
    </w:p>
    <w:p>
      <w:pPr>
        <w:jc w:val="left"/>
        <w:rPr>
          <w:rFonts w:hint="eastAsia"/>
          <w:b/>
          <w:bCs/>
          <w:sz w:val="32"/>
          <w:szCs w:val="32"/>
          <w:lang w:eastAsia="zh-CN"/>
        </w:rPr>
      </w:pPr>
      <w:r>
        <w:rPr>
          <w:rFonts w:hint="eastAsia"/>
          <w:b/>
          <w:bCs/>
          <w:sz w:val="32"/>
          <w:szCs w:val="32"/>
          <w:lang w:eastAsia="zh-CN"/>
        </w:rPr>
        <w:t>询价项目名称：民生信息化公共服务平台项目全民健康信息平台四期·将乐县域平台二期项目</w:t>
      </w:r>
    </w:p>
    <w:p>
      <w:pPr>
        <w:jc w:val="left"/>
        <w:rPr>
          <w:rFonts w:hint="default"/>
          <w:b/>
          <w:bCs/>
          <w:sz w:val="32"/>
          <w:szCs w:val="32"/>
          <w:lang w:val="en-US" w:eastAsia="zh-CN"/>
        </w:rPr>
      </w:pPr>
      <w:r>
        <w:rPr>
          <w:rFonts w:hint="eastAsia"/>
          <w:b/>
          <w:bCs/>
          <w:sz w:val="32"/>
          <w:szCs w:val="32"/>
          <w:lang w:eastAsia="zh-CN"/>
        </w:rPr>
        <w:t>招标人：</w:t>
      </w:r>
      <w:r>
        <w:rPr>
          <w:rFonts w:hint="eastAsia"/>
          <w:b/>
          <w:bCs/>
          <w:sz w:val="32"/>
          <w:szCs w:val="32"/>
          <w:lang w:val="en-US" w:eastAsia="zh-CN"/>
        </w:rPr>
        <w:t>将乐县总医院</w:t>
      </w:r>
    </w:p>
    <w:p>
      <w:pPr>
        <w:jc w:val="left"/>
        <w:rPr>
          <w:rFonts w:hint="default"/>
          <w:b/>
          <w:bCs/>
          <w:sz w:val="32"/>
          <w:szCs w:val="32"/>
          <w:lang w:val="en-US" w:eastAsia="zh-CN"/>
        </w:rPr>
      </w:pPr>
      <w:r>
        <w:rPr>
          <w:rFonts w:hint="eastAsia"/>
          <w:b/>
          <w:bCs/>
          <w:sz w:val="32"/>
          <w:szCs w:val="32"/>
          <w:lang w:eastAsia="zh-CN"/>
        </w:rPr>
        <w:t>日期：</w:t>
      </w:r>
      <w:r>
        <w:rPr>
          <w:rFonts w:hint="eastAsia"/>
          <w:b/>
          <w:bCs/>
          <w:sz w:val="32"/>
          <w:szCs w:val="32"/>
          <w:lang w:val="en-US" w:eastAsia="zh-CN"/>
        </w:rPr>
        <w:t>2022年9月9日</w:t>
      </w:r>
    </w:p>
    <w:p>
      <w:pPr>
        <w:jc w:val="left"/>
        <w:rPr>
          <w:rFonts w:hint="eastAsia"/>
          <w:b/>
          <w:bCs/>
          <w:sz w:val="32"/>
          <w:szCs w:val="32"/>
          <w:lang w:val="en-US" w:eastAsia="zh-CN"/>
        </w:rPr>
      </w:pPr>
      <w:r>
        <w:rPr>
          <w:rFonts w:hint="eastAsia"/>
          <w:b/>
          <w:bCs/>
          <w:sz w:val="32"/>
          <w:szCs w:val="32"/>
          <w:lang w:val="en-US" w:eastAsia="zh-CN"/>
        </w:rPr>
        <w:t xml:space="preserve">                    目录</w:t>
      </w:r>
    </w:p>
    <w:p>
      <w:pPr>
        <w:numPr>
          <w:ilvl w:val="0"/>
          <w:numId w:val="1"/>
        </w:numPr>
        <w:jc w:val="left"/>
        <w:rPr>
          <w:rFonts w:hint="eastAsia"/>
          <w:b/>
          <w:bCs/>
          <w:sz w:val="32"/>
          <w:szCs w:val="32"/>
          <w:lang w:val="en-US" w:eastAsia="zh-CN"/>
        </w:rPr>
      </w:pPr>
      <w:r>
        <w:rPr>
          <w:rFonts w:hint="eastAsia"/>
          <w:b/>
          <w:bCs/>
          <w:sz w:val="32"/>
          <w:szCs w:val="32"/>
          <w:lang w:val="en-US" w:eastAsia="zh-CN"/>
        </w:rPr>
        <w:t xml:space="preserve">  询价公告</w:t>
      </w:r>
    </w:p>
    <w:p>
      <w:pPr>
        <w:numPr>
          <w:ilvl w:val="0"/>
          <w:numId w:val="1"/>
        </w:numPr>
        <w:jc w:val="left"/>
        <w:rPr>
          <w:rFonts w:hint="default"/>
          <w:b/>
          <w:bCs/>
          <w:sz w:val="32"/>
          <w:szCs w:val="32"/>
          <w:lang w:val="en-US" w:eastAsia="zh-CN"/>
        </w:rPr>
      </w:pPr>
      <w:r>
        <w:rPr>
          <w:rFonts w:hint="eastAsia"/>
          <w:b/>
          <w:bCs/>
          <w:sz w:val="32"/>
          <w:szCs w:val="32"/>
          <w:lang w:val="en-US" w:eastAsia="zh-CN"/>
        </w:rPr>
        <w:t xml:space="preserve">  报价书</w:t>
      </w:r>
    </w:p>
    <w:p>
      <w:pPr>
        <w:jc w:val="center"/>
        <w:rPr>
          <w:rFonts w:hint="eastAsia"/>
          <w:b/>
          <w:bCs/>
          <w:sz w:val="32"/>
          <w:szCs w:val="32"/>
        </w:rPr>
      </w:pPr>
      <w:r>
        <w:rPr>
          <w:rFonts w:hint="eastAsia"/>
          <w:b/>
          <w:bCs/>
          <w:sz w:val="32"/>
          <w:szCs w:val="32"/>
        </w:rPr>
        <w:t>第一章</w:t>
      </w:r>
      <w:r>
        <w:rPr>
          <w:rFonts w:hint="eastAsia"/>
          <w:b/>
          <w:bCs/>
          <w:sz w:val="32"/>
          <w:szCs w:val="32"/>
          <w:lang w:val="en-US" w:eastAsia="zh-CN"/>
        </w:rPr>
        <w:t xml:space="preserve">  </w:t>
      </w:r>
      <w:r>
        <w:rPr>
          <w:rFonts w:hint="eastAsia"/>
          <w:b/>
          <w:bCs/>
          <w:sz w:val="32"/>
          <w:szCs w:val="32"/>
        </w:rPr>
        <w:t>询价公告</w:t>
      </w:r>
    </w:p>
    <w:p>
      <w:pPr>
        <w:ind w:firstLine="560" w:firstLineChars="200"/>
        <w:rPr>
          <w:rFonts w:hint="eastAsia" w:ascii="宋体" w:hAnsi="宋体" w:eastAsia="宋体" w:cs="宋体"/>
          <w:sz w:val="28"/>
          <w:szCs w:val="28"/>
        </w:rPr>
      </w:pPr>
      <w:r>
        <w:rPr>
          <w:rFonts w:hint="eastAsia" w:ascii="宋体" w:hAnsi="宋体" w:eastAsia="宋体" w:cs="宋体"/>
          <w:sz w:val="28"/>
          <w:szCs w:val="28"/>
          <w:lang w:eastAsia="zh-CN"/>
        </w:rPr>
        <w:t>三明市</w:t>
      </w:r>
      <w:r>
        <w:rPr>
          <w:rFonts w:hint="eastAsia" w:ascii="宋体" w:hAnsi="宋体" w:eastAsia="宋体" w:cs="宋体"/>
          <w:sz w:val="28"/>
          <w:szCs w:val="28"/>
          <w:lang w:val="en-US" w:eastAsia="zh-CN"/>
        </w:rPr>
        <w:t>将乐县</w:t>
      </w:r>
      <w:r>
        <w:rPr>
          <w:rFonts w:hint="eastAsia" w:ascii="宋体" w:hAnsi="宋体" w:eastAsia="宋体" w:cs="宋体"/>
          <w:sz w:val="28"/>
          <w:szCs w:val="28"/>
          <w:lang w:eastAsia="zh-CN"/>
        </w:rPr>
        <w:t>总医院</w:t>
      </w:r>
      <w:r>
        <w:rPr>
          <w:rFonts w:hint="eastAsia" w:ascii="宋体" w:hAnsi="宋体" w:eastAsia="宋体" w:cs="宋体"/>
          <w:sz w:val="28"/>
          <w:szCs w:val="28"/>
        </w:rPr>
        <w:t>就</w:t>
      </w:r>
      <w:r>
        <w:rPr>
          <w:rFonts w:hint="eastAsia" w:ascii="宋体" w:hAnsi="宋体" w:eastAsia="宋体" w:cs="宋体"/>
          <w:sz w:val="28"/>
          <w:szCs w:val="28"/>
          <w:lang w:eastAsia="zh-CN"/>
        </w:rPr>
        <w:t>民生信息化公共服务平台项目全民健康信息平台四期·将乐县域平台二期项目</w:t>
      </w:r>
      <w:r>
        <w:rPr>
          <w:rFonts w:hint="eastAsia" w:ascii="宋体" w:hAnsi="宋体" w:eastAsia="宋体" w:cs="宋体"/>
          <w:sz w:val="28"/>
          <w:szCs w:val="28"/>
        </w:rPr>
        <w:t>进行公开询价，欢迎国内具有资质条件的供应商前来参加报价。</w:t>
      </w:r>
    </w:p>
    <w:p>
      <w:pPr>
        <w:rPr>
          <w:rFonts w:hint="eastAsia" w:ascii="宋体" w:hAnsi="宋体" w:eastAsia="宋体" w:cs="宋体"/>
          <w:sz w:val="28"/>
          <w:szCs w:val="28"/>
        </w:rPr>
      </w:pPr>
      <w:r>
        <w:rPr>
          <w:rFonts w:hint="eastAsia" w:ascii="宋体" w:hAnsi="宋体" w:eastAsia="宋体" w:cs="宋体"/>
          <w:b/>
          <w:bCs/>
          <w:sz w:val="28"/>
          <w:szCs w:val="28"/>
        </w:rPr>
        <w:t>一、项目名称</w:t>
      </w:r>
      <w:r>
        <w:rPr>
          <w:rFonts w:hint="eastAsia" w:ascii="宋体" w:hAnsi="宋体" w:eastAsia="宋体" w:cs="宋体"/>
          <w:b/>
          <w:bCs/>
          <w:sz w:val="28"/>
          <w:szCs w:val="28"/>
          <w:lang w:eastAsia="zh-CN"/>
        </w:rPr>
        <w:t>：民生信息化公共服务平台项目全民健康信息平台四期·将乐县域平台二期项目</w:t>
      </w:r>
    </w:p>
    <w:p>
      <w:pPr>
        <w:rPr>
          <w:rFonts w:hint="eastAsia" w:ascii="宋体" w:hAnsi="宋体" w:eastAsia="宋体" w:cs="宋体"/>
          <w:b/>
          <w:bCs/>
          <w:sz w:val="28"/>
          <w:szCs w:val="28"/>
        </w:rPr>
      </w:pPr>
      <w:r>
        <w:rPr>
          <w:rFonts w:hint="eastAsia" w:ascii="宋体" w:hAnsi="宋体" w:eastAsia="宋体" w:cs="宋体"/>
          <w:b/>
          <w:bCs/>
          <w:sz w:val="28"/>
          <w:szCs w:val="28"/>
        </w:rPr>
        <w:t>二、项目内容及要求:</w:t>
      </w:r>
    </w:p>
    <w:p>
      <w:pPr>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rPr>
        <w:t>本次项目的建设目标是对将乐县总医院医院信息集成平台的优化与补充，对医院信息资源进行挖掘、分析、实现临床资源等二次利用，为医院管理辅助决策、医院临床辅助决策等场景发挥应用的作用。为医护人员提供业务协同、临床辅助等服务，为院领导决策提供支持服务，并最终达成更好地为患者提供医疗服务的目标。同时本次项目建设满足国家医院信息互联互通标准化成熟度四级甲等测评要求，实现标准能统一、数据能利用、流程能配置、环节能监控、思想能落地、内外能扩展的目标。</w:t>
      </w:r>
      <w:r>
        <w:rPr>
          <w:rFonts w:hint="eastAsia" w:ascii="宋体" w:hAnsi="宋体" w:eastAsia="宋体" w:cs="宋体"/>
          <w:sz w:val="28"/>
          <w:szCs w:val="28"/>
          <w:lang w:val="en-US" w:eastAsia="zh-CN"/>
        </w:rPr>
        <w:t>县域平台二期的功能需求如下：</w:t>
      </w:r>
    </w:p>
    <w:p>
      <w:pPr>
        <w:ind w:firstLine="560" w:firstLineChars="200"/>
        <w:rPr>
          <w:rFonts w:hint="eastAsia" w:ascii="宋体" w:hAnsi="宋体" w:eastAsia="宋体" w:cs="宋体"/>
          <w:sz w:val="28"/>
          <w:szCs w:val="28"/>
          <w:lang w:val="en-US" w:eastAsia="zh-CN"/>
        </w:rPr>
      </w:pPr>
    </w:p>
    <w:tbl>
      <w:tblPr>
        <w:tblStyle w:val="2"/>
        <w:tblW w:w="5123" w:type="pct"/>
        <w:tblInd w:w="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5"/>
        <w:gridCol w:w="2250"/>
        <w:gridCol w:w="3953"/>
        <w:gridCol w:w="865"/>
        <w:gridCol w:w="8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7"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b/>
                <w:sz w:val="24"/>
                <w:szCs w:val="24"/>
              </w:rPr>
            </w:pPr>
            <w:r>
              <w:rPr>
                <w:rFonts w:hint="eastAsia" w:ascii="宋体" w:hAnsi="宋体" w:eastAsia="宋体"/>
                <w:b/>
                <w:sz w:val="24"/>
                <w:szCs w:val="24"/>
              </w:rPr>
              <w:t>序号</w:t>
            </w:r>
          </w:p>
        </w:tc>
        <w:tc>
          <w:tcPr>
            <w:tcW w:w="3551" w:type="pct"/>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b/>
                <w:sz w:val="24"/>
                <w:szCs w:val="24"/>
              </w:rPr>
            </w:pPr>
            <w:r>
              <w:rPr>
                <w:rFonts w:hint="eastAsia" w:ascii="宋体" w:hAnsi="宋体" w:eastAsia="宋体"/>
                <w:b/>
                <w:sz w:val="24"/>
                <w:szCs w:val="24"/>
              </w:rPr>
              <w:t>建设内容</w:t>
            </w:r>
          </w:p>
        </w:tc>
        <w:tc>
          <w:tcPr>
            <w:tcW w:w="495"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b/>
                <w:sz w:val="24"/>
                <w:szCs w:val="24"/>
              </w:rPr>
            </w:pPr>
            <w:r>
              <w:rPr>
                <w:rFonts w:hint="eastAsia" w:ascii="宋体" w:hAnsi="宋体" w:eastAsia="宋体"/>
                <w:b/>
                <w:sz w:val="24"/>
                <w:szCs w:val="24"/>
              </w:rPr>
              <w:t>单位</w:t>
            </w:r>
          </w:p>
        </w:tc>
        <w:tc>
          <w:tcPr>
            <w:tcW w:w="486"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b/>
                <w:sz w:val="24"/>
                <w:szCs w:val="24"/>
              </w:rPr>
            </w:pPr>
            <w:r>
              <w:rPr>
                <w:rFonts w:hint="eastAsia" w:ascii="宋体" w:hAnsi="宋体" w:eastAsia="宋体"/>
                <w:b/>
                <w:sz w:val="24"/>
                <w:szCs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7" w:type="pct"/>
            <w:tcBorders>
              <w:top w:val="single" w:color="auto" w:sz="4" w:space="0"/>
              <w:left w:val="single" w:color="auto" w:sz="4" w:space="0"/>
              <w:right w:val="single" w:color="auto" w:sz="4" w:space="0"/>
            </w:tcBorders>
            <w:vAlign w:val="center"/>
          </w:tcPr>
          <w:p>
            <w:pPr>
              <w:pStyle w:val="4"/>
              <w:numPr>
                <w:ilvl w:val="0"/>
                <w:numId w:val="2"/>
              </w:numPr>
              <w:spacing w:line="360" w:lineRule="auto"/>
              <w:ind w:left="0" w:firstLine="0" w:firstLineChars="0"/>
              <w:jc w:val="center"/>
              <w:rPr>
                <w:rFonts w:ascii="宋体" w:hAnsi="宋体" w:eastAsia="宋体"/>
                <w:sz w:val="24"/>
                <w:szCs w:val="24"/>
              </w:rPr>
            </w:pPr>
          </w:p>
        </w:tc>
        <w:tc>
          <w:tcPr>
            <w:tcW w:w="1288" w:type="pct"/>
            <w:vMerge w:val="restart"/>
            <w:tcBorders>
              <w:top w:val="single" w:color="auto" w:sz="4" w:space="0"/>
              <w:left w:val="single" w:color="auto" w:sz="4" w:space="0"/>
              <w:right w:val="single" w:color="auto" w:sz="4" w:space="0"/>
            </w:tcBorders>
            <w:vAlign w:val="center"/>
          </w:tcPr>
          <w:p>
            <w:pPr>
              <w:spacing w:line="360" w:lineRule="auto"/>
              <w:rPr>
                <w:rFonts w:ascii="宋体" w:hAnsi="宋体" w:eastAsia="宋体"/>
                <w:sz w:val="24"/>
                <w:szCs w:val="24"/>
              </w:rPr>
            </w:pPr>
            <w:r>
              <w:rPr>
                <w:rFonts w:hint="eastAsia" w:ascii="宋体" w:hAnsi="宋体" w:eastAsia="宋体"/>
                <w:sz w:val="24"/>
                <w:szCs w:val="24"/>
              </w:rPr>
              <w:t>医院信息集成平台二期建设</w:t>
            </w:r>
          </w:p>
        </w:tc>
        <w:tc>
          <w:tcPr>
            <w:tcW w:w="2262" w:type="pct"/>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eastAsia="宋体"/>
                <w:sz w:val="24"/>
                <w:szCs w:val="24"/>
              </w:rPr>
            </w:pPr>
            <w:r>
              <w:rPr>
                <w:rFonts w:hint="eastAsia" w:ascii="宋体" w:hAnsi="宋体" w:eastAsia="宋体"/>
                <w:sz w:val="24"/>
                <w:szCs w:val="24"/>
              </w:rPr>
              <w:t>患者3</w:t>
            </w:r>
            <w:r>
              <w:rPr>
                <w:rFonts w:ascii="宋体" w:hAnsi="宋体" w:eastAsia="宋体"/>
                <w:sz w:val="24"/>
                <w:szCs w:val="24"/>
              </w:rPr>
              <w:t>60</w:t>
            </w:r>
            <w:r>
              <w:rPr>
                <w:rFonts w:hint="eastAsia" w:ascii="宋体" w:hAnsi="宋体" w:eastAsia="宋体"/>
                <w:sz w:val="24"/>
                <w:szCs w:val="24"/>
              </w:rPr>
              <w:t>视图应用系统</w:t>
            </w:r>
          </w:p>
        </w:tc>
        <w:tc>
          <w:tcPr>
            <w:tcW w:w="495"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sz w:val="24"/>
                <w:szCs w:val="24"/>
              </w:rPr>
            </w:pPr>
            <w:r>
              <w:rPr>
                <w:rFonts w:hint="eastAsia" w:ascii="宋体" w:hAnsi="宋体" w:eastAsia="宋体"/>
                <w:sz w:val="24"/>
                <w:szCs w:val="24"/>
              </w:rPr>
              <w:t>套</w:t>
            </w:r>
          </w:p>
        </w:tc>
        <w:tc>
          <w:tcPr>
            <w:tcW w:w="486"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sz w:val="24"/>
                <w:szCs w:val="24"/>
              </w:rPr>
            </w:pPr>
            <w:r>
              <w:rPr>
                <w:rFonts w:hint="eastAsia" w:ascii="宋体" w:hAnsi="宋体" w:eastAsia="宋体"/>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7" w:type="pct"/>
            <w:tcBorders>
              <w:top w:val="single" w:color="auto" w:sz="4" w:space="0"/>
              <w:left w:val="single" w:color="auto" w:sz="4" w:space="0"/>
              <w:right w:val="single" w:color="auto" w:sz="4" w:space="0"/>
            </w:tcBorders>
            <w:vAlign w:val="center"/>
          </w:tcPr>
          <w:p>
            <w:pPr>
              <w:pStyle w:val="4"/>
              <w:numPr>
                <w:ilvl w:val="0"/>
                <w:numId w:val="2"/>
              </w:numPr>
              <w:spacing w:line="360" w:lineRule="auto"/>
              <w:ind w:left="0" w:firstLine="0" w:firstLineChars="0"/>
              <w:jc w:val="center"/>
              <w:rPr>
                <w:rFonts w:ascii="宋体" w:hAnsi="宋体" w:eastAsia="宋体"/>
                <w:sz w:val="24"/>
                <w:szCs w:val="24"/>
              </w:rPr>
            </w:pPr>
          </w:p>
        </w:tc>
        <w:tc>
          <w:tcPr>
            <w:tcW w:w="1288" w:type="pct"/>
            <w:vMerge w:val="continue"/>
            <w:tcBorders>
              <w:top w:val="single" w:color="auto" w:sz="4" w:space="0"/>
              <w:left w:val="single" w:color="auto" w:sz="4" w:space="0"/>
              <w:right w:val="single" w:color="auto" w:sz="4" w:space="0"/>
            </w:tcBorders>
            <w:vAlign w:val="center"/>
          </w:tcPr>
          <w:p>
            <w:pPr>
              <w:spacing w:line="360" w:lineRule="auto"/>
              <w:rPr>
                <w:rFonts w:ascii="宋体" w:hAnsi="宋体" w:eastAsia="宋体"/>
                <w:sz w:val="24"/>
                <w:szCs w:val="24"/>
              </w:rPr>
            </w:pPr>
          </w:p>
        </w:tc>
        <w:tc>
          <w:tcPr>
            <w:tcW w:w="2262" w:type="pct"/>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eastAsia="宋体"/>
                <w:sz w:val="24"/>
                <w:szCs w:val="24"/>
              </w:rPr>
            </w:pPr>
            <w:r>
              <w:rPr>
                <w:rFonts w:hint="eastAsia" w:ascii="宋体" w:hAnsi="宋体" w:eastAsia="宋体"/>
                <w:sz w:val="24"/>
                <w:szCs w:val="24"/>
              </w:rPr>
              <w:t>综合运营决策支持B</w:t>
            </w:r>
            <w:r>
              <w:rPr>
                <w:rFonts w:ascii="宋体" w:hAnsi="宋体" w:eastAsia="宋体"/>
                <w:sz w:val="24"/>
                <w:szCs w:val="24"/>
              </w:rPr>
              <w:t>I</w:t>
            </w:r>
            <w:r>
              <w:rPr>
                <w:rFonts w:hint="eastAsia" w:ascii="宋体" w:hAnsi="宋体" w:eastAsia="宋体"/>
                <w:sz w:val="24"/>
                <w:szCs w:val="24"/>
              </w:rPr>
              <w:t>二期建设</w:t>
            </w:r>
          </w:p>
        </w:tc>
        <w:tc>
          <w:tcPr>
            <w:tcW w:w="495"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sz w:val="24"/>
                <w:szCs w:val="24"/>
              </w:rPr>
            </w:pPr>
            <w:r>
              <w:rPr>
                <w:rFonts w:hint="eastAsia" w:ascii="宋体" w:hAnsi="宋体" w:eastAsia="宋体"/>
                <w:sz w:val="24"/>
                <w:szCs w:val="24"/>
              </w:rPr>
              <w:t>套</w:t>
            </w:r>
          </w:p>
        </w:tc>
        <w:tc>
          <w:tcPr>
            <w:tcW w:w="486"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sz w:val="24"/>
                <w:szCs w:val="24"/>
              </w:rPr>
            </w:pPr>
            <w:r>
              <w:rPr>
                <w:rFonts w:hint="eastAsia" w:ascii="宋体" w:hAnsi="宋体" w:eastAsia="宋体"/>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7" w:type="pct"/>
            <w:tcBorders>
              <w:top w:val="single" w:color="auto" w:sz="4" w:space="0"/>
              <w:left w:val="single" w:color="auto" w:sz="4" w:space="0"/>
              <w:right w:val="single" w:color="auto" w:sz="4" w:space="0"/>
            </w:tcBorders>
            <w:vAlign w:val="center"/>
          </w:tcPr>
          <w:p>
            <w:pPr>
              <w:pStyle w:val="4"/>
              <w:numPr>
                <w:ilvl w:val="0"/>
                <w:numId w:val="2"/>
              </w:numPr>
              <w:spacing w:line="360" w:lineRule="auto"/>
              <w:ind w:left="0" w:firstLine="0" w:firstLineChars="0"/>
              <w:jc w:val="center"/>
              <w:rPr>
                <w:rFonts w:ascii="宋体" w:hAnsi="宋体" w:eastAsia="宋体"/>
                <w:sz w:val="24"/>
                <w:szCs w:val="24"/>
              </w:rPr>
            </w:pPr>
          </w:p>
        </w:tc>
        <w:tc>
          <w:tcPr>
            <w:tcW w:w="1288" w:type="pct"/>
            <w:vMerge w:val="continue"/>
            <w:tcBorders>
              <w:top w:val="single" w:color="auto" w:sz="4" w:space="0"/>
              <w:left w:val="single" w:color="auto" w:sz="4" w:space="0"/>
              <w:right w:val="single" w:color="auto" w:sz="4" w:space="0"/>
            </w:tcBorders>
            <w:vAlign w:val="center"/>
          </w:tcPr>
          <w:p>
            <w:pPr>
              <w:spacing w:line="360" w:lineRule="auto"/>
              <w:rPr>
                <w:rFonts w:ascii="宋体" w:hAnsi="宋体" w:eastAsia="宋体"/>
                <w:sz w:val="24"/>
                <w:szCs w:val="24"/>
              </w:rPr>
            </w:pPr>
          </w:p>
        </w:tc>
        <w:tc>
          <w:tcPr>
            <w:tcW w:w="2262" w:type="pct"/>
            <w:tcBorders>
              <w:top w:val="single" w:color="auto" w:sz="4" w:space="0"/>
              <w:left w:val="single" w:color="auto" w:sz="4" w:space="0"/>
              <w:bottom w:val="single" w:color="auto" w:sz="4" w:space="0"/>
              <w:right w:val="single" w:color="auto" w:sz="4" w:space="0"/>
            </w:tcBorders>
            <w:vAlign w:val="center"/>
          </w:tcPr>
          <w:p>
            <w:pPr>
              <w:spacing w:line="360" w:lineRule="auto"/>
              <w:rPr>
                <w:rFonts w:hint="default" w:ascii="宋体" w:hAnsi="宋体" w:eastAsia="宋体"/>
                <w:sz w:val="24"/>
                <w:szCs w:val="24"/>
                <w:lang w:val="en-US" w:eastAsia="zh-CN"/>
              </w:rPr>
            </w:pPr>
            <w:r>
              <w:rPr>
                <w:rFonts w:hint="eastAsia" w:ascii="宋体" w:hAnsi="宋体" w:eastAsia="宋体"/>
                <w:sz w:val="24"/>
                <w:szCs w:val="24"/>
                <w:lang w:val="en-US" w:eastAsia="zh-CN"/>
              </w:rPr>
              <w:t>共享文档清洗、生成、标准化及校验</w:t>
            </w:r>
          </w:p>
        </w:tc>
        <w:tc>
          <w:tcPr>
            <w:tcW w:w="495"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sz w:val="24"/>
                <w:szCs w:val="24"/>
              </w:rPr>
            </w:pPr>
            <w:r>
              <w:rPr>
                <w:rFonts w:hint="eastAsia" w:ascii="宋体" w:hAnsi="宋体" w:eastAsia="宋体"/>
                <w:sz w:val="24"/>
                <w:szCs w:val="24"/>
              </w:rPr>
              <w:t>套</w:t>
            </w:r>
          </w:p>
        </w:tc>
        <w:tc>
          <w:tcPr>
            <w:tcW w:w="486"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sz w:val="24"/>
                <w:szCs w:val="24"/>
              </w:rPr>
            </w:pPr>
            <w:r>
              <w:rPr>
                <w:rFonts w:hint="eastAsia" w:ascii="宋体" w:hAnsi="宋体" w:eastAsia="宋体"/>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7" w:type="pct"/>
            <w:tcBorders>
              <w:top w:val="single" w:color="auto" w:sz="4" w:space="0"/>
              <w:left w:val="single" w:color="auto" w:sz="4" w:space="0"/>
              <w:right w:val="single" w:color="auto" w:sz="4" w:space="0"/>
            </w:tcBorders>
            <w:vAlign w:val="center"/>
          </w:tcPr>
          <w:p>
            <w:pPr>
              <w:pStyle w:val="4"/>
              <w:numPr>
                <w:ilvl w:val="0"/>
                <w:numId w:val="2"/>
              </w:numPr>
              <w:spacing w:line="360" w:lineRule="auto"/>
              <w:ind w:left="0" w:firstLine="0" w:firstLineChars="0"/>
              <w:jc w:val="center"/>
              <w:rPr>
                <w:rFonts w:ascii="宋体" w:hAnsi="宋体" w:eastAsia="宋体"/>
                <w:sz w:val="24"/>
                <w:szCs w:val="24"/>
              </w:rPr>
            </w:pPr>
          </w:p>
        </w:tc>
        <w:tc>
          <w:tcPr>
            <w:tcW w:w="1288" w:type="pct"/>
            <w:vMerge w:val="continue"/>
            <w:tcBorders>
              <w:top w:val="single" w:color="auto" w:sz="4" w:space="0"/>
              <w:left w:val="single" w:color="auto" w:sz="4" w:space="0"/>
              <w:right w:val="single" w:color="auto" w:sz="4" w:space="0"/>
            </w:tcBorders>
            <w:vAlign w:val="center"/>
          </w:tcPr>
          <w:p>
            <w:pPr>
              <w:spacing w:line="360" w:lineRule="auto"/>
              <w:rPr>
                <w:rFonts w:ascii="宋体" w:hAnsi="宋体" w:eastAsia="宋体"/>
                <w:sz w:val="24"/>
                <w:szCs w:val="24"/>
              </w:rPr>
            </w:pPr>
          </w:p>
        </w:tc>
        <w:tc>
          <w:tcPr>
            <w:tcW w:w="2262" w:type="pct"/>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eastAsia="宋体"/>
                <w:sz w:val="24"/>
                <w:szCs w:val="24"/>
              </w:rPr>
            </w:pPr>
            <w:r>
              <w:rPr>
                <w:rFonts w:hint="eastAsia" w:ascii="宋体" w:hAnsi="宋体" w:eastAsia="宋体"/>
                <w:sz w:val="24"/>
                <w:szCs w:val="24"/>
              </w:rPr>
              <w:t>临床数据中心（C</w:t>
            </w:r>
            <w:r>
              <w:rPr>
                <w:rFonts w:ascii="宋体" w:hAnsi="宋体" w:eastAsia="宋体"/>
                <w:sz w:val="24"/>
                <w:szCs w:val="24"/>
              </w:rPr>
              <w:t>DR</w:t>
            </w:r>
            <w:r>
              <w:rPr>
                <w:rFonts w:hint="eastAsia" w:ascii="宋体" w:hAnsi="宋体" w:eastAsia="宋体"/>
                <w:sz w:val="24"/>
                <w:szCs w:val="24"/>
              </w:rPr>
              <w:t>）</w:t>
            </w:r>
          </w:p>
        </w:tc>
        <w:tc>
          <w:tcPr>
            <w:tcW w:w="495"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sz w:val="24"/>
                <w:szCs w:val="24"/>
              </w:rPr>
            </w:pPr>
            <w:r>
              <w:rPr>
                <w:rFonts w:hint="eastAsia" w:ascii="宋体" w:hAnsi="宋体" w:eastAsia="宋体"/>
                <w:sz w:val="24"/>
                <w:szCs w:val="24"/>
              </w:rPr>
              <w:t>套</w:t>
            </w:r>
          </w:p>
        </w:tc>
        <w:tc>
          <w:tcPr>
            <w:tcW w:w="486"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sz w:val="24"/>
                <w:szCs w:val="24"/>
              </w:rPr>
            </w:pPr>
            <w:r>
              <w:rPr>
                <w:rFonts w:hint="eastAsia" w:ascii="宋体" w:hAnsi="宋体" w:eastAsia="宋体"/>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467" w:type="pct"/>
            <w:tcBorders>
              <w:top w:val="single" w:color="auto" w:sz="4" w:space="0"/>
              <w:left w:val="single" w:color="auto" w:sz="4" w:space="0"/>
              <w:right w:val="single" w:color="auto" w:sz="4" w:space="0"/>
            </w:tcBorders>
            <w:vAlign w:val="center"/>
          </w:tcPr>
          <w:p>
            <w:pPr>
              <w:pStyle w:val="4"/>
              <w:numPr>
                <w:ilvl w:val="0"/>
                <w:numId w:val="2"/>
              </w:numPr>
              <w:spacing w:line="360" w:lineRule="auto"/>
              <w:ind w:left="0" w:firstLine="0" w:firstLineChars="0"/>
              <w:jc w:val="center"/>
              <w:rPr>
                <w:rFonts w:ascii="宋体" w:hAnsi="宋体" w:eastAsia="宋体"/>
                <w:sz w:val="24"/>
                <w:szCs w:val="24"/>
              </w:rPr>
            </w:pPr>
          </w:p>
        </w:tc>
        <w:tc>
          <w:tcPr>
            <w:tcW w:w="1288" w:type="pct"/>
            <w:vMerge w:val="restart"/>
            <w:tcBorders>
              <w:top w:val="single" w:color="auto" w:sz="4" w:space="0"/>
              <w:left w:val="single" w:color="auto" w:sz="4" w:space="0"/>
              <w:right w:val="single" w:color="auto" w:sz="4" w:space="0"/>
            </w:tcBorders>
            <w:vAlign w:val="center"/>
          </w:tcPr>
          <w:p>
            <w:pPr>
              <w:spacing w:line="360" w:lineRule="auto"/>
              <w:rPr>
                <w:rFonts w:ascii="宋体" w:hAnsi="宋体" w:eastAsia="宋体"/>
                <w:sz w:val="24"/>
                <w:szCs w:val="24"/>
              </w:rPr>
            </w:pPr>
            <w:r>
              <w:rPr>
                <w:rFonts w:ascii="宋体" w:hAnsi="宋体" w:eastAsia="宋体"/>
                <w:sz w:val="24"/>
                <w:szCs w:val="24"/>
              </w:rPr>
              <w:t>互联互通</w:t>
            </w:r>
            <w:r>
              <w:rPr>
                <w:rFonts w:hint="eastAsia" w:ascii="宋体" w:hAnsi="宋体" w:eastAsia="宋体"/>
                <w:sz w:val="24"/>
                <w:szCs w:val="24"/>
              </w:rPr>
              <w:t>成熟度测评（</w:t>
            </w:r>
            <w:r>
              <w:rPr>
                <w:rFonts w:ascii="宋体" w:hAnsi="宋体" w:eastAsia="宋体"/>
                <w:sz w:val="24"/>
                <w:szCs w:val="24"/>
              </w:rPr>
              <w:t>四级</w:t>
            </w:r>
            <w:r>
              <w:rPr>
                <w:rFonts w:hint="eastAsia" w:ascii="宋体" w:hAnsi="宋体" w:eastAsia="宋体"/>
                <w:sz w:val="24"/>
                <w:szCs w:val="24"/>
              </w:rPr>
              <w:t>甲</w:t>
            </w:r>
            <w:r>
              <w:rPr>
                <w:rFonts w:ascii="宋体" w:hAnsi="宋体" w:eastAsia="宋体"/>
                <w:sz w:val="24"/>
                <w:szCs w:val="24"/>
              </w:rPr>
              <w:t>等</w:t>
            </w:r>
            <w:r>
              <w:rPr>
                <w:rFonts w:hint="eastAsia" w:ascii="宋体" w:hAnsi="宋体" w:eastAsia="宋体"/>
                <w:sz w:val="24"/>
                <w:szCs w:val="24"/>
              </w:rPr>
              <w:t>）</w:t>
            </w:r>
          </w:p>
        </w:tc>
        <w:tc>
          <w:tcPr>
            <w:tcW w:w="2262" w:type="pct"/>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eastAsia="宋体"/>
                <w:sz w:val="24"/>
                <w:szCs w:val="24"/>
              </w:rPr>
            </w:pPr>
            <w:r>
              <w:rPr>
                <w:rFonts w:hint="eastAsia" w:ascii="宋体" w:hAnsi="宋体" w:eastAsia="宋体"/>
                <w:sz w:val="24"/>
                <w:szCs w:val="24"/>
              </w:rPr>
              <w:t>互联互通支持平台</w:t>
            </w:r>
          </w:p>
        </w:tc>
        <w:tc>
          <w:tcPr>
            <w:tcW w:w="495" w:type="pct"/>
            <w:vMerge w:val="restart"/>
            <w:tcBorders>
              <w:top w:val="single" w:color="auto" w:sz="4" w:space="0"/>
              <w:left w:val="single" w:color="auto" w:sz="4" w:space="0"/>
              <w:right w:val="single" w:color="auto" w:sz="4" w:space="0"/>
            </w:tcBorders>
            <w:vAlign w:val="center"/>
          </w:tcPr>
          <w:p>
            <w:pPr>
              <w:spacing w:line="360" w:lineRule="auto"/>
              <w:jc w:val="center"/>
              <w:rPr>
                <w:rFonts w:ascii="宋体" w:hAnsi="宋体" w:eastAsia="宋体"/>
                <w:sz w:val="24"/>
                <w:szCs w:val="24"/>
              </w:rPr>
            </w:pPr>
            <w:r>
              <w:rPr>
                <w:rFonts w:hint="eastAsia" w:ascii="宋体" w:hAnsi="宋体" w:eastAsia="宋体"/>
                <w:sz w:val="24"/>
                <w:szCs w:val="24"/>
              </w:rPr>
              <w:t>套</w:t>
            </w:r>
          </w:p>
        </w:tc>
        <w:tc>
          <w:tcPr>
            <w:tcW w:w="486" w:type="pct"/>
            <w:vMerge w:val="restart"/>
            <w:tcBorders>
              <w:top w:val="single" w:color="auto" w:sz="4" w:space="0"/>
              <w:left w:val="single" w:color="auto" w:sz="4" w:space="0"/>
              <w:right w:val="single" w:color="auto" w:sz="4" w:space="0"/>
            </w:tcBorders>
            <w:vAlign w:val="center"/>
          </w:tcPr>
          <w:p>
            <w:pPr>
              <w:spacing w:line="360" w:lineRule="auto"/>
              <w:jc w:val="center"/>
              <w:rPr>
                <w:rFonts w:ascii="宋体" w:hAnsi="宋体" w:eastAsia="宋体"/>
                <w:sz w:val="24"/>
                <w:szCs w:val="24"/>
              </w:rPr>
            </w:pPr>
            <w:r>
              <w:rPr>
                <w:rFonts w:hint="eastAsia" w:ascii="宋体" w:hAnsi="宋体" w:eastAsia="宋体"/>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467" w:type="pct"/>
            <w:tcBorders>
              <w:left w:val="single" w:color="auto" w:sz="4" w:space="0"/>
              <w:right w:val="single" w:color="auto" w:sz="4" w:space="0"/>
            </w:tcBorders>
            <w:vAlign w:val="center"/>
          </w:tcPr>
          <w:p>
            <w:pPr>
              <w:pStyle w:val="4"/>
              <w:numPr>
                <w:ilvl w:val="0"/>
                <w:numId w:val="2"/>
              </w:numPr>
              <w:spacing w:line="360" w:lineRule="auto"/>
              <w:ind w:left="0" w:firstLine="0" w:firstLineChars="0"/>
              <w:jc w:val="center"/>
              <w:rPr>
                <w:rFonts w:ascii="宋体" w:hAnsi="宋体" w:eastAsia="宋体"/>
                <w:sz w:val="24"/>
                <w:szCs w:val="24"/>
              </w:rPr>
            </w:pPr>
          </w:p>
        </w:tc>
        <w:tc>
          <w:tcPr>
            <w:tcW w:w="1288" w:type="pct"/>
            <w:vMerge w:val="continue"/>
            <w:tcBorders>
              <w:left w:val="single" w:color="auto" w:sz="4" w:space="0"/>
              <w:right w:val="single" w:color="auto" w:sz="4" w:space="0"/>
            </w:tcBorders>
            <w:vAlign w:val="center"/>
          </w:tcPr>
          <w:p>
            <w:pPr>
              <w:spacing w:line="360" w:lineRule="auto"/>
              <w:rPr>
                <w:rFonts w:ascii="宋体" w:hAnsi="宋体" w:eastAsia="宋体"/>
                <w:sz w:val="24"/>
                <w:szCs w:val="24"/>
              </w:rPr>
            </w:pPr>
          </w:p>
        </w:tc>
        <w:tc>
          <w:tcPr>
            <w:tcW w:w="2262" w:type="pct"/>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eastAsia="宋体"/>
                <w:sz w:val="24"/>
                <w:szCs w:val="24"/>
              </w:rPr>
            </w:pPr>
            <w:r>
              <w:rPr>
                <w:rFonts w:hint="eastAsia" w:ascii="宋体" w:hAnsi="宋体" w:eastAsia="宋体"/>
                <w:sz w:val="24"/>
                <w:szCs w:val="24"/>
              </w:rPr>
              <w:t>互联互通交互服务</w:t>
            </w:r>
          </w:p>
        </w:tc>
        <w:tc>
          <w:tcPr>
            <w:tcW w:w="495" w:type="pct"/>
            <w:vMerge w:val="continue"/>
            <w:tcBorders>
              <w:left w:val="single" w:color="auto" w:sz="4" w:space="0"/>
              <w:right w:val="single" w:color="auto" w:sz="4" w:space="0"/>
            </w:tcBorders>
            <w:vAlign w:val="center"/>
          </w:tcPr>
          <w:p>
            <w:pPr>
              <w:spacing w:line="360" w:lineRule="auto"/>
              <w:jc w:val="center"/>
              <w:rPr>
                <w:rFonts w:ascii="宋体" w:hAnsi="宋体" w:eastAsia="宋体"/>
                <w:sz w:val="24"/>
                <w:szCs w:val="24"/>
              </w:rPr>
            </w:pPr>
          </w:p>
        </w:tc>
        <w:tc>
          <w:tcPr>
            <w:tcW w:w="486" w:type="pct"/>
            <w:vMerge w:val="continue"/>
            <w:tcBorders>
              <w:left w:val="single" w:color="auto" w:sz="4" w:space="0"/>
              <w:right w:val="single" w:color="auto" w:sz="4" w:space="0"/>
            </w:tcBorders>
            <w:vAlign w:val="center"/>
          </w:tcPr>
          <w:p>
            <w:pPr>
              <w:spacing w:line="360" w:lineRule="auto"/>
              <w:jc w:val="cente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467" w:type="pct"/>
            <w:tcBorders>
              <w:left w:val="single" w:color="auto" w:sz="4" w:space="0"/>
              <w:right w:val="single" w:color="auto" w:sz="4" w:space="0"/>
            </w:tcBorders>
            <w:vAlign w:val="center"/>
          </w:tcPr>
          <w:p>
            <w:pPr>
              <w:pStyle w:val="4"/>
              <w:numPr>
                <w:ilvl w:val="0"/>
                <w:numId w:val="2"/>
              </w:numPr>
              <w:spacing w:line="360" w:lineRule="auto"/>
              <w:ind w:left="0" w:firstLine="0" w:firstLineChars="0"/>
              <w:jc w:val="center"/>
              <w:rPr>
                <w:rFonts w:ascii="宋体" w:hAnsi="宋体" w:eastAsia="宋体"/>
                <w:sz w:val="24"/>
                <w:szCs w:val="24"/>
              </w:rPr>
            </w:pPr>
          </w:p>
        </w:tc>
        <w:tc>
          <w:tcPr>
            <w:tcW w:w="1288" w:type="pct"/>
            <w:vMerge w:val="continue"/>
            <w:tcBorders>
              <w:left w:val="single" w:color="auto" w:sz="4" w:space="0"/>
              <w:right w:val="single" w:color="auto" w:sz="4" w:space="0"/>
            </w:tcBorders>
            <w:vAlign w:val="center"/>
          </w:tcPr>
          <w:p>
            <w:pPr>
              <w:spacing w:line="360" w:lineRule="auto"/>
              <w:rPr>
                <w:rFonts w:ascii="宋体" w:hAnsi="宋体" w:eastAsia="宋体"/>
                <w:sz w:val="24"/>
                <w:szCs w:val="24"/>
              </w:rPr>
            </w:pPr>
          </w:p>
        </w:tc>
        <w:tc>
          <w:tcPr>
            <w:tcW w:w="2262" w:type="pct"/>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eastAsia="宋体"/>
                <w:sz w:val="24"/>
                <w:szCs w:val="24"/>
              </w:rPr>
            </w:pPr>
            <w:r>
              <w:rPr>
                <w:rFonts w:hint="eastAsia" w:ascii="宋体" w:hAnsi="宋体" w:eastAsia="宋体"/>
                <w:sz w:val="24"/>
                <w:szCs w:val="24"/>
              </w:rPr>
              <w:t>互联互通整合平台</w:t>
            </w:r>
          </w:p>
        </w:tc>
        <w:tc>
          <w:tcPr>
            <w:tcW w:w="495" w:type="pct"/>
            <w:vMerge w:val="continue"/>
            <w:tcBorders>
              <w:left w:val="single" w:color="auto" w:sz="4" w:space="0"/>
              <w:right w:val="single" w:color="auto" w:sz="4" w:space="0"/>
            </w:tcBorders>
            <w:vAlign w:val="center"/>
          </w:tcPr>
          <w:p>
            <w:pPr>
              <w:spacing w:line="360" w:lineRule="auto"/>
              <w:jc w:val="center"/>
              <w:rPr>
                <w:rFonts w:ascii="宋体" w:hAnsi="宋体" w:eastAsia="宋体"/>
                <w:sz w:val="24"/>
                <w:szCs w:val="24"/>
              </w:rPr>
            </w:pPr>
          </w:p>
        </w:tc>
        <w:tc>
          <w:tcPr>
            <w:tcW w:w="486" w:type="pct"/>
            <w:vMerge w:val="continue"/>
            <w:tcBorders>
              <w:left w:val="single" w:color="auto" w:sz="4" w:space="0"/>
              <w:right w:val="single" w:color="auto" w:sz="4" w:space="0"/>
            </w:tcBorders>
            <w:vAlign w:val="center"/>
          </w:tcPr>
          <w:p>
            <w:pPr>
              <w:spacing w:line="360" w:lineRule="auto"/>
              <w:jc w:val="cente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467" w:type="pct"/>
            <w:tcBorders>
              <w:left w:val="single" w:color="auto" w:sz="4" w:space="0"/>
              <w:right w:val="single" w:color="auto" w:sz="4" w:space="0"/>
            </w:tcBorders>
            <w:vAlign w:val="center"/>
          </w:tcPr>
          <w:p>
            <w:pPr>
              <w:pStyle w:val="4"/>
              <w:numPr>
                <w:ilvl w:val="0"/>
                <w:numId w:val="2"/>
              </w:numPr>
              <w:spacing w:line="360" w:lineRule="auto"/>
              <w:ind w:left="0" w:firstLine="0" w:firstLineChars="0"/>
              <w:jc w:val="center"/>
              <w:rPr>
                <w:rFonts w:ascii="宋体" w:hAnsi="宋体" w:eastAsia="宋体"/>
                <w:sz w:val="24"/>
                <w:szCs w:val="24"/>
              </w:rPr>
            </w:pPr>
          </w:p>
        </w:tc>
        <w:tc>
          <w:tcPr>
            <w:tcW w:w="1288" w:type="pct"/>
            <w:vMerge w:val="continue"/>
            <w:tcBorders>
              <w:left w:val="single" w:color="auto" w:sz="4" w:space="0"/>
              <w:right w:val="single" w:color="auto" w:sz="4" w:space="0"/>
            </w:tcBorders>
            <w:vAlign w:val="center"/>
          </w:tcPr>
          <w:p>
            <w:pPr>
              <w:spacing w:line="360" w:lineRule="auto"/>
              <w:rPr>
                <w:rFonts w:ascii="宋体" w:hAnsi="宋体" w:eastAsia="宋体"/>
                <w:sz w:val="24"/>
                <w:szCs w:val="24"/>
              </w:rPr>
            </w:pPr>
          </w:p>
        </w:tc>
        <w:tc>
          <w:tcPr>
            <w:tcW w:w="2262" w:type="pct"/>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eastAsia="宋体"/>
                <w:sz w:val="24"/>
                <w:szCs w:val="24"/>
              </w:rPr>
            </w:pPr>
            <w:r>
              <w:rPr>
                <w:rFonts w:hint="eastAsia" w:ascii="宋体" w:hAnsi="宋体" w:eastAsia="宋体"/>
                <w:sz w:val="24"/>
                <w:szCs w:val="24"/>
              </w:rPr>
              <w:t>互联互通外联平台</w:t>
            </w:r>
          </w:p>
        </w:tc>
        <w:tc>
          <w:tcPr>
            <w:tcW w:w="495" w:type="pct"/>
            <w:vMerge w:val="continue"/>
            <w:tcBorders>
              <w:left w:val="single" w:color="auto" w:sz="4" w:space="0"/>
              <w:right w:val="single" w:color="auto" w:sz="4" w:space="0"/>
            </w:tcBorders>
            <w:vAlign w:val="center"/>
          </w:tcPr>
          <w:p>
            <w:pPr>
              <w:spacing w:line="360" w:lineRule="auto"/>
              <w:jc w:val="center"/>
              <w:rPr>
                <w:rFonts w:ascii="宋体" w:hAnsi="宋体" w:eastAsia="宋体"/>
                <w:sz w:val="24"/>
                <w:szCs w:val="24"/>
              </w:rPr>
            </w:pPr>
          </w:p>
        </w:tc>
        <w:tc>
          <w:tcPr>
            <w:tcW w:w="486" w:type="pct"/>
            <w:vMerge w:val="continue"/>
            <w:tcBorders>
              <w:left w:val="single" w:color="auto" w:sz="4" w:space="0"/>
              <w:right w:val="single" w:color="auto" w:sz="4" w:space="0"/>
            </w:tcBorders>
            <w:vAlign w:val="center"/>
          </w:tcPr>
          <w:p>
            <w:pPr>
              <w:spacing w:line="360" w:lineRule="auto"/>
              <w:jc w:val="cente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467" w:type="pct"/>
            <w:tcBorders>
              <w:left w:val="single" w:color="auto" w:sz="4" w:space="0"/>
              <w:bottom w:val="single" w:color="auto" w:sz="4" w:space="0"/>
              <w:right w:val="single" w:color="auto" w:sz="4" w:space="0"/>
            </w:tcBorders>
            <w:vAlign w:val="center"/>
          </w:tcPr>
          <w:p>
            <w:pPr>
              <w:pStyle w:val="4"/>
              <w:numPr>
                <w:ilvl w:val="0"/>
                <w:numId w:val="2"/>
              </w:numPr>
              <w:spacing w:line="360" w:lineRule="auto"/>
              <w:ind w:left="0" w:firstLine="0" w:firstLineChars="0"/>
              <w:jc w:val="center"/>
              <w:rPr>
                <w:rFonts w:ascii="宋体" w:hAnsi="宋体" w:eastAsia="宋体"/>
                <w:sz w:val="24"/>
                <w:szCs w:val="24"/>
              </w:rPr>
            </w:pPr>
          </w:p>
        </w:tc>
        <w:tc>
          <w:tcPr>
            <w:tcW w:w="1288" w:type="pct"/>
            <w:vMerge w:val="continue"/>
            <w:tcBorders>
              <w:left w:val="single" w:color="auto" w:sz="4" w:space="0"/>
              <w:bottom w:val="single" w:color="auto" w:sz="4" w:space="0"/>
              <w:right w:val="single" w:color="auto" w:sz="4" w:space="0"/>
            </w:tcBorders>
            <w:vAlign w:val="center"/>
          </w:tcPr>
          <w:p>
            <w:pPr>
              <w:spacing w:line="360" w:lineRule="auto"/>
              <w:rPr>
                <w:rFonts w:ascii="宋体" w:hAnsi="宋体" w:eastAsia="宋体"/>
                <w:sz w:val="24"/>
                <w:szCs w:val="24"/>
              </w:rPr>
            </w:pPr>
          </w:p>
        </w:tc>
        <w:tc>
          <w:tcPr>
            <w:tcW w:w="2262" w:type="pct"/>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eastAsia="宋体"/>
                <w:sz w:val="24"/>
                <w:szCs w:val="24"/>
              </w:rPr>
            </w:pPr>
            <w:r>
              <w:rPr>
                <w:rFonts w:hint="eastAsia" w:ascii="宋体" w:hAnsi="宋体" w:eastAsia="宋体"/>
                <w:sz w:val="24"/>
                <w:szCs w:val="24"/>
              </w:rPr>
              <w:t>互联互通测评服务</w:t>
            </w:r>
          </w:p>
        </w:tc>
        <w:tc>
          <w:tcPr>
            <w:tcW w:w="495" w:type="pct"/>
            <w:vMerge w:val="continue"/>
            <w:tcBorders>
              <w:left w:val="single" w:color="auto" w:sz="4" w:space="0"/>
              <w:bottom w:val="single" w:color="auto" w:sz="4" w:space="0"/>
              <w:right w:val="single" w:color="auto" w:sz="4" w:space="0"/>
            </w:tcBorders>
            <w:vAlign w:val="center"/>
          </w:tcPr>
          <w:p>
            <w:pPr>
              <w:spacing w:line="360" w:lineRule="auto"/>
              <w:jc w:val="center"/>
              <w:rPr>
                <w:rFonts w:ascii="宋体" w:hAnsi="宋体" w:eastAsia="宋体"/>
                <w:sz w:val="24"/>
                <w:szCs w:val="24"/>
              </w:rPr>
            </w:pPr>
          </w:p>
        </w:tc>
        <w:tc>
          <w:tcPr>
            <w:tcW w:w="486" w:type="pct"/>
            <w:vMerge w:val="continue"/>
            <w:tcBorders>
              <w:left w:val="single" w:color="auto" w:sz="4" w:space="0"/>
              <w:bottom w:val="single" w:color="auto" w:sz="4" w:space="0"/>
              <w:right w:val="single" w:color="auto" w:sz="4" w:space="0"/>
            </w:tcBorders>
            <w:vAlign w:val="center"/>
          </w:tcPr>
          <w:p>
            <w:pPr>
              <w:spacing w:line="360" w:lineRule="auto"/>
              <w:jc w:val="center"/>
              <w:rPr>
                <w:rFonts w:ascii="宋体" w:hAnsi="宋体" w:eastAsia="宋体"/>
                <w:sz w:val="24"/>
                <w:szCs w:val="24"/>
              </w:rPr>
            </w:pPr>
          </w:p>
        </w:tc>
      </w:tr>
    </w:tbl>
    <w:p>
      <w:pPr>
        <w:rPr>
          <w:rFonts w:hint="eastAsia" w:ascii="宋体" w:hAnsi="宋体" w:eastAsia="宋体" w:cs="宋体"/>
          <w:b/>
          <w:bCs/>
          <w:sz w:val="28"/>
          <w:szCs w:val="28"/>
          <w:lang w:val="en-US" w:eastAsia="zh-CN"/>
        </w:rPr>
      </w:pPr>
    </w:p>
    <w:p>
      <w:pPr>
        <w:rPr>
          <w:rFonts w:hint="default" w:ascii="宋体" w:hAnsi="宋体" w:eastAsia="宋体" w:cs="宋体"/>
          <w:b/>
          <w:bCs/>
          <w:sz w:val="28"/>
          <w:szCs w:val="28"/>
          <w:lang w:val="en-US" w:eastAsia="zh-CN"/>
        </w:rPr>
      </w:pPr>
      <w:r>
        <w:rPr>
          <w:rFonts w:hint="eastAsia" w:ascii="宋体" w:hAnsi="宋体" w:eastAsia="宋体" w:cs="宋体"/>
          <w:b/>
          <w:bCs/>
          <w:sz w:val="28"/>
          <w:szCs w:val="28"/>
          <w:lang w:val="en-US" w:eastAsia="zh-CN"/>
        </w:rPr>
        <w:t>医院信息集成平台二期建设</w:t>
      </w:r>
    </w:p>
    <w:p>
      <w:pPr>
        <w:numPr>
          <w:ilvl w:val="0"/>
          <w:numId w:val="3"/>
        </w:num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患者360视图应用系统</w:t>
      </w:r>
    </w:p>
    <w:p>
      <w:pPr>
        <w:numPr>
          <w:ilvl w:val="0"/>
          <w:numId w:val="0"/>
        </w:numPr>
        <w:ind w:firstLine="560" w:firstLineChars="200"/>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1.医生视图：患者数据展示、自定义患者收藏、患者检索；</w:t>
      </w:r>
    </w:p>
    <w:p>
      <w:pPr>
        <w:numPr>
          <w:ilvl w:val="0"/>
          <w:numId w:val="0"/>
        </w:numPr>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2.患者视图-时间轴视图：时间轴、门诊、住院；</w:t>
      </w:r>
    </w:p>
    <w:p>
      <w:pPr>
        <w:numPr>
          <w:ilvl w:val="0"/>
          <w:numId w:val="0"/>
        </w:numPr>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3.患者视图-业务视图：患者基本信息、就诊记录、过敏史、检查检验报告、电子病历、体检信息等；</w:t>
      </w:r>
    </w:p>
    <w:p>
      <w:pPr>
        <w:numPr>
          <w:ilvl w:val="0"/>
          <w:numId w:val="0"/>
        </w:numPr>
        <w:ind w:firstLine="560" w:firstLineChars="200"/>
        <w:rPr>
          <w:rFonts w:hint="default" w:ascii="宋体" w:hAnsi="宋体" w:eastAsia="宋体" w:cs="宋体"/>
          <w:sz w:val="28"/>
          <w:szCs w:val="28"/>
          <w:lang w:val="en-US" w:eastAsia="zh-CN"/>
        </w:rPr>
      </w:pPr>
    </w:p>
    <w:p>
      <w:pPr>
        <w:numPr>
          <w:ilvl w:val="0"/>
          <w:numId w:val="3"/>
        </w:numPr>
        <w:rPr>
          <w:rFonts w:hint="eastAsia" w:ascii="宋体" w:hAnsi="宋体" w:eastAsia="宋体" w:cs="宋体"/>
          <w:sz w:val="28"/>
          <w:szCs w:val="28"/>
        </w:rPr>
      </w:pPr>
      <w:r>
        <w:rPr>
          <w:rFonts w:hint="eastAsia" w:ascii="宋体" w:hAnsi="宋体" w:eastAsia="宋体" w:cs="宋体"/>
          <w:sz w:val="28"/>
          <w:szCs w:val="28"/>
          <w:lang w:val="en-US" w:eastAsia="zh-CN"/>
        </w:rPr>
        <w:t>BI二期建设</w:t>
      </w:r>
    </w:p>
    <w:p>
      <w:pPr>
        <w:numPr>
          <w:ilvl w:val="0"/>
          <w:numId w:val="0"/>
        </w:numPr>
        <w:ind w:firstLine="560"/>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1.系统管理：数据缓存管理、调度管理</w:t>
      </w:r>
    </w:p>
    <w:p>
      <w:pPr>
        <w:numPr>
          <w:ilvl w:val="0"/>
          <w:numId w:val="0"/>
        </w:numPr>
        <w:ind w:firstLine="56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2.数据仓库：行业数据模型、指标数据模型</w:t>
      </w:r>
    </w:p>
    <w:p>
      <w:pPr>
        <w:numPr>
          <w:ilvl w:val="0"/>
          <w:numId w:val="0"/>
        </w:numPr>
        <w:ind w:firstLine="56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3.数据分析工具：图表分析工具、数据资源配置、配置报表、查询配置、报表计时器；</w:t>
      </w:r>
    </w:p>
    <w:p>
      <w:pPr>
        <w:numPr>
          <w:ilvl w:val="0"/>
          <w:numId w:val="0"/>
        </w:numPr>
        <w:ind w:firstLine="56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4.功能测试要求：测试验收报告</w:t>
      </w:r>
    </w:p>
    <w:p>
      <w:pPr>
        <w:numPr>
          <w:ilvl w:val="0"/>
          <w:numId w:val="0"/>
        </w:numPr>
        <w:ind w:firstLine="56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5.综合运营分析：综合大屏、医疗服务、医疗质量、医疗效率、用药管理、医疗收入、医疗负担；</w:t>
      </w:r>
    </w:p>
    <w:p>
      <w:pPr>
        <w:numPr>
          <w:ilvl w:val="0"/>
          <w:numId w:val="0"/>
        </w:numPr>
        <w:ind w:firstLine="560"/>
        <w:rPr>
          <w:rFonts w:hint="default" w:ascii="宋体" w:hAnsi="宋体" w:eastAsia="宋体" w:cs="宋体"/>
          <w:sz w:val="28"/>
          <w:szCs w:val="28"/>
          <w:lang w:val="en-US" w:eastAsia="zh-CN"/>
        </w:rPr>
      </w:pPr>
    </w:p>
    <w:p>
      <w:pPr>
        <w:numPr>
          <w:ilvl w:val="0"/>
          <w:numId w:val="3"/>
        </w:numPr>
        <w:rPr>
          <w:rFonts w:hint="eastAsia" w:ascii="宋体" w:hAnsi="宋体" w:eastAsia="宋体" w:cs="宋体"/>
          <w:sz w:val="28"/>
          <w:szCs w:val="28"/>
        </w:rPr>
      </w:pPr>
      <w:r>
        <w:rPr>
          <w:rFonts w:hint="eastAsia" w:ascii="宋体" w:hAnsi="宋体" w:eastAsia="宋体" w:cs="宋体"/>
          <w:sz w:val="28"/>
          <w:szCs w:val="28"/>
          <w:lang w:val="en-US" w:eastAsia="zh-CN"/>
        </w:rPr>
        <w:t>共享文档清洗、生成、标准化及校验</w:t>
      </w:r>
    </w:p>
    <w:p>
      <w:pPr>
        <w:numPr>
          <w:ilvl w:val="0"/>
          <w:numId w:val="0"/>
        </w:numPr>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1.数据集文件管理：患者信息查询、数据集文件生成、文件下载；</w:t>
      </w:r>
    </w:p>
    <w:p>
      <w:pPr>
        <w:numPr>
          <w:ilvl w:val="0"/>
          <w:numId w:val="0"/>
        </w:numPr>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2.共享文档管理：共享文档生成、文件下载、预览查看、临床文档；</w:t>
      </w:r>
    </w:p>
    <w:p>
      <w:pPr>
        <w:numPr>
          <w:ilvl w:val="0"/>
          <w:numId w:val="0"/>
        </w:numPr>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3.文档生成器：数据集生成、共享文档生成、上传市平台；</w:t>
      </w:r>
    </w:p>
    <w:p>
      <w:pPr>
        <w:numPr>
          <w:ilvl w:val="0"/>
          <w:numId w:val="0"/>
        </w:numPr>
        <w:rPr>
          <w:rFonts w:hint="default" w:ascii="宋体" w:hAnsi="宋体" w:eastAsia="宋体" w:cs="宋体"/>
          <w:sz w:val="28"/>
          <w:szCs w:val="28"/>
          <w:lang w:val="en-US" w:eastAsia="zh-CN"/>
        </w:rPr>
      </w:pPr>
    </w:p>
    <w:p>
      <w:pPr>
        <w:numPr>
          <w:ilvl w:val="0"/>
          <w:numId w:val="3"/>
        </w:numPr>
        <w:rPr>
          <w:rFonts w:hint="eastAsia" w:ascii="宋体" w:hAnsi="宋体" w:eastAsia="宋体" w:cs="宋体"/>
          <w:sz w:val="28"/>
          <w:szCs w:val="28"/>
        </w:rPr>
      </w:pPr>
      <w:r>
        <w:rPr>
          <w:rFonts w:hint="eastAsia" w:ascii="宋体" w:hAnsi="宋体" w:eastAsia="宋体" w:cs="宋体"/>
          <w:sz w:val="28"/>
          <w:szCs w:val="28"/>
          <w:lang w:val="en-US" w:eastAsia="zh-CN"/>
        </w:rPr>
        <w:t>临床数据中心</w:t>
      </w:r>
    </w:p>
    <w:p>
      <w:pPr>
        <w:numPr>
          <w:ilvl w:val="0"/>
          <w:numId w:val="0"/>
        </w:numPr>
        <w:ind w:firstLine="560"/>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1.数据中心：数据库、数据中心组成、数据采集、数据集成、首页展示；</w:t>
      </w:r>
    </w:p>
    <w:p>
      <w:pPr>
        <w:numPr>
          <w:ilvl w:val="0"/>
          <w:numId w:val="0"/>
        </w:numPr>
        <w:ind w:firstLine="56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2.数据质量监控系统：数据质量监控、考评查询、考核评估设置、短信查询、一致性统计、任务调度管理；</w:t>
      </w:r>
    </w:p>
    <w:p>
      <w:pPr>
        <w:numPr>
          <w:ilvl w:val="0"/>
          <w:numId w:val="0"/>
        </w:numPr>
        <w:ind w:firstLine="560"/>
        <w:rPr>
          <w:rFonts w:hint="eastAsia" w:ascii="宋体" w:hAnsi="宋体" w:eastAsia="宋体" w:cs="宋体"/>
          <w:sz w:val="28"/>
          <w:szCs w:val="28"/>
          <w:lang w:val="en-US" w:eastAsia="zh-CN"/>
        </w:rPr>
      </w:pPr>
    </w:p>
    <w:p>
      <w:pPr>
        <w:numPr>
          <w:ilvl w:val="0"/>
          <w:numId w:val="0"/>
        </w:numPr>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互联互通成熟度测评（四级甲等）</w:t>
      </w:r>
    </w:p>
    <w:p>
      <w:pPr>
        <w:numPr>
          <w:ilvl w:val="0"/>
          <w:numId w:val="4"/>
        </w:numPr>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互联互通支持平台</w:t>
      </w:r>
    </w:p>
    <w:p>
      <w:pPr>
        <w:numPr>
          <w:ilvl w:val="0"/>
          <w:numId w:val="0"/>
        </w:numPr>
        <w:ind w:firstLine="560" w:firstLineChars="200"/>
        <w:rPr>
          <w:rFonts w:hint="default"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1.数据集标准化改造：根据测评要求，实现对58个数据集的标</w:t>
      </w:r>
    </w:p>
    <w:p>
      <w:pPr>
        <w:numPr>
          <w:ilvl w:val="0"/>
          <w:numId w:val="0"/>
        </w:numPr>
        <w:ind w:firstLine="560" w:firstLineChars="200"/>
        <w:rPr>
          <w:rFonts w:hint="default"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2.共享文档标准化改造：根据测评要求，实现对53个共享文档的标准化改造；</w:t>
      </w:r>
    </w:p>
    <w:p>
      <w:pPr>
        <w:numPr>
          <w:ilvl w:val="0"/>
          <w:numId w:val="0"/>
        </w:numPr>
        <w:ind w:firstLine="560" w:firstLineChars="200"/>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3.互联互通服务标准化改造；根据测评要求，实现46项交互服务标准化改造；</w:t>
      </w:r>
    </w:p>
    <w:p>
      <w:pPr>
        <w:numPr>
          <w:ilvl w:val="0"/>
          <w:numId w:val="0"/>
        </w:numPr>
        <w:ind w:firstLine="560" w:firstLineChars="200"/>
        <w:rPr>
          <w:rFonts w:hint="default" w:ascii="宋体" w:hAnsi="宋体" w:eastAsia="宋体" w:cs="宋体"/>
          <w:b w:val="0"/>
          <w:bCs w:val="0"/>
          <w:sz w:val="28"/>
          <w:szCs w:val="28"/>
          <w:lang w:val="en-US" w:eastAsia="zh-CN"/>
        </w:rPr>
      </w:pPr>
    </w:p>
    <w:p>
      <w:pPr>
        <w:numPr>
          <w:ilvl w:val="0"/>
          <w:numId w:val="4"/>
        </w:numPr>
        <w:rPr>
          <w:rFonts w:hint="default"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互联互通交互服务</w:t>
      </w:r>
    </w:p>
    <w:p>
      <w:pPr>
        <w:numPr>
          <w:ilvl w:val="0"/>
          <w:numId w:val="0"/>
        </w:numPr>
        <w:ind w:firstLine="560"/>
        <w:rPr>
          <w:rFonts w:hint="default"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1.数据字典/术语值域管理：业务域管理、平台端数据字典维护、机构端数据字典维护、术语值域映射；</w:t>
      </w:r>
    </w:p>
    <w:p>
      <w:pPr>
        <w:numPr>
          <w:ilvl w:val="0"/>
          <w:numId w:val="0"/>
        </w:numPr>
        <w:ind w:firstLine="560"/>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2.基础数据维护映射管理：诊断字典匹配；</w:t>
      </w:r>
    </w:p>
    <w:p>
      <w:pPr>
        <w:numPr>
          <w:ilvl w:val="0"/>
          <w:numId w:val="0"/>
        </w:numPr>
        <w:ind w:firstLine="560"/>
        <w:rPr>
          <w:rFonts w:hint="default" w:ascii="宋体" w:hAnsi="宋体" w:eastAsia="宋体" w:cs="宋体"/>
          <w:b w:val="0"/>
          <w:bCs w:val="0"/>
          <w:sz w:val="28"/>
          <w:szCs w:val="28"/>
          <w:lang w:val="en-US" w:eastAsia="zh-CN"/>
        </w:rPr>
      </w:pPr>
    </w:p>
    <w:p>
      <w:pPr>
        <w:numPr>
          <w:ilvl w:val="0"/>
          <w:numId w:val="4"/>
        </w:numPr>
        <w:ind w:left="0" w:leftChars="0" w:firstLine="0" w:firstLineChars="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互联互通整合平台</w:t>
      </w:r>
    </w:p>
    <w:p>
      <w:pPr>
        <w:numPr>
          <w:ilvl w:val="0"/>
          <w:numId w:val="0"/>
        </w:numPr>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1.基于平台的内网联通业务：需接入15个临床服务系统、需接入10个医疗管理系统、需接入6个运营管理系统；</w:t>
      </w:r>
    </w:p>
    <w:p>
      <w:pPr>
        <w:numPr>
          <w:ilvl w:val="0"/>
          <w:numId w:val="0"/>
        </w:numPr>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2.平台资源利用情况：共享文档库数据量基本支持平台应用、平台交互服务数量基本支持平台应用</w:t>
      </w:r>
    </w:p>
    <w:p>
      <w:pPr>
        <w:numPr>
          <w:ilvl w:val="0"/>
          <w:numId w:val="0"/>
        </w:numPr>
        <w:ind w:firstLine="560" w:firstLineChars="200"/>
        <w:rPr>
          <w:rFonts w:hint="eastAsia" w:ascii="宋体" w:hAnsi="宋体" w:eastAsia="宋体" w:cs="宋体"/>
          <w:sz w:val="28"/>
          <w:szCs w:val="28"/>
          <w:lang w:val="en-US" w:eastAsia="zh-CN"/>
        </w:rPr>
      </w:pPr>
    </w:p>
    <w:p>
      <w:pPr>
        <w:numPr>
          <w:ilvl w:val="0"/>
          <w:numId w:val="4"/>
        </w:numPr>
        <w:ind w:left="0" w:leftChars="0" w:firstLine="0" w:firstLineChars="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互联互通外联平台</w:t>
      </w:r>
    </w:p>
    <w:p>
      <w:pPr>
        <w:numPr>
          <w:ilvl w:val="0"/>
          <w:numId w:val="0"/>
        </w:numPr>
        <w:ind w:left="560" w:leftChars="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1.基于平台的外部连通服务：平台需接入5个外部机构；</w:t>
      </w:r>
    </w:p>
    <w:p>
      <w:pPr>
        <w:widowControl w:val="0"/>
        <w:numPr>
          <w:ilvl w:val="0"/>
          <w:numId w:val="0"/>
        </w:numPr>
        <w:jc w:val="both"/>
        <w:rPr>
          <w:rFonts w:hint="default" w:ascii="宋体" w:hAnsi="宋体" w:eastAsia="宋体" w:cs="宋体"/>
          <w:sz w:val="28"/>
          <w:szCs w:val="28"/>
          <w:lang w:val="en-US" w:eastAsia="zh-CN"/>
        </w:rPr>
      </w:pPr>
    </w:p>
    <w:p>
      <w:pPr>
        <w:widowControl w:val="0"/>
        <w:numPr>
          <w:ilvl w:val="0"/>
          <w:numId w:val="4"/>
        </w:numPr>
        <w:ind w:left="0" w:leftChars="0" w:firstLine="0" w:firstLineChars="0"/>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互联互通测评服务</w:t>
      </w:r>
    </w:p>
    <w:p>
      <w:pPr>
        <w:widowControl w:val="0"/>
        <w:numPr>
          <w:ilvl w:val="0"/>
          <w:numId w:val="0"/>
        </w:numPr>
        <w:ind w:leftChars="0" w:firstLine="560"/>
        <w:jc w:val="both"/>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1.提供全过程的咨询、答疑服务；</w:t>
      </w:r>
    </w:p>
    <w:p>
      <w:pPr>
        <w:widowControl w:val="0"/>
        <w:numPr>
          <w:ilvl w:val="0"/>
          <w:numId w:val="0"/>
        </w:numPr>
        <w:ind w:leftChars="0" w:firstLine="560"/>
        <w:jc w:val="both"/>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2.提供各阶段证明材料整合服务；</w:t>
      </w:r>
    </w:p>
    <w:p>
      <w:pPr>
        <w:widowControl w:val="0"/>
        <w:numPr>
          <w:ilvl w:val="0"/>
          <w:numId w:val="0"/>
        </w:numPr>
        <w:ind w:leftChars="0" w:firstLine="560"/>
        <w:jc w:val="both"/>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3.提供定量预测服务；</w:t>
      </w:r>
    </w:p>
    <w:p>
      <w:pPr>
        <w:rPr>
          <w:rFonts w:hint="eastAsia" w:ascii="宋体" w:hAnsi="宋体" w:eastAsia="宋体" w:cs="宋体"/>
          <w:color w:val="auto"/>
          <w:sz w:val="28"/>
          <w:szCs w:val="28"/>
          <w:lang w:eastAsia="zh-CN"/>
        </w:rPr>
      </w:pPr>
      <w:r>
        <w:rPr>
          <w:rFonts w:hint="eastAsia" w:ascii="宋体" w:hAnsi="宋体" w:eastAsia="宋体" w:cs="宋体"/>
          <w:color w:val="auto"/>
          <w:sz w:val="28"/>
          <w:szCs w:val="28"/>
          <w:lang w:eastAsia="zh-CN"/>
        </w:rPr>
        <w:t>注：系统必须包括但不限于以上功能要求；模块名称可以不一样，模块功能必须满足；</w:t>
      </w:r>
      <w:r>
        <w:rPr>
          <w:rFonts w:hint="eastAsia" w:ascii="宋体" w:hAnsi="宋体" w:eastAsia="宋体" w:cs="宋体"/>
          <w:b/>
          <w:bCs/>
          <w:color w:val="auto"/>
          <w:sz w:val="28"/>
          <w:szCs w:val="28"/>
          <w:lang w:eastAsia="zh-CN"/>
        </w:rPr>
        <w:t>报价总额含接口费</w:t>
      </w:r>
      <w:r>
        <w:rPr>
          <w:rFonts w:hint="eastAsia" w:ascii="宋体" w:hAnsi="宋体" w:eastAsia="宋体" w:cs="宋体"/>
          <w:color w:val="auto"/>
          <w:sz w:val="28"/>
          <w:szCs w:val="28"/>
          <w:lang w:eastAsia="zh-CN"/>
        </w:rPr>
        <w:t>。</w:t>
      </w:r>
    </w:p>
    <w:p>
      <w:pPr>
        <w:rPr>
          <w:rFonts w:hint="eastAsia" w:ascii="宋体" w:hAnsi="宋体" w:eastAsia="宋体" w:cs="宋体"/>
          <w:color w:val="auto"/>
          <w:sz w:val="28"/>
          <w:szCs w:val="28"/>
          <w:lang w:eastAsia="zh-CN"/>
        </w:rPr>
      </w:pPr>
    </w:p>
    <w:p>
      <w:pPr>
        <w:ind w:firstLine="562" w:firstLineChars="200"/>
        <w:rPr>
          <w:rFonts w:hint="eastAsia" w:ascii="宋体" w:hAnsi="宋体" w:eastAsia="宋体" w:cs="宋体"/>
          <w:b/>
          <w:bCs/>
          <w:sz w:val="28"/>
          <w:szCs w:val="28"/>
        </w:rPr>
      </w:pPr>
      <w:r>
        <w:rPr>
          <w:rFonts w:hint="eastAsia" w:ascii="宋体" w:hAnsi="宋体" w:eastAsia="宋体" w:cs="宋体"/>
          <w:b/>
          <w:bCs/>
          <w:sz w:val="28"/>
          <w:szCs w:val="28"/>
        </w:rPr>
        <w:t>三、被询价人的资格要求</w:t>
      </w:r>
      <w:r>
        <w:rPr>
          <w:rFonts w:hint="eastAsia" w:ascii="宋体" w:hAnsi="宋体" w:eastAsia="宋体" w:cs="宋体"/>
          <w:b/>
          <w:bCs/>
          <w:sz w:val="28"/>
          <w:szCs w:val="28"/>
          <w:lang w:eastAsia="zh-CN"/>
        </w:rPr>
        <w:t>：</w:t>
      </w:r>
      <w:r>
        <w:rPr>
          <w:rFonts w:hint="eastAsia" w:ascii="宋体" w:hAnsi="宋体" w:eastAsia="宋体" w:cs="宋体"/>
          <w:b/>
          <w:bCs/>
          <w:sz w:val="28"/>
          <w:szCs w:val="28"/>
        </w:rPr>
        <w:t>符合《中华人民共和国政府采购法》第二十二条、二十四条及本询价文件规定条件的供应商。</w:t>
      </w:r>
    </w:p>
    <w:p>
      <w:pPr>
        <w:ind w:firstLine="562" w:firstLineChars="200"/>
        <w:rPr>
          <w:rFonts w:hint="eastAsia" w:ascii="宋体" w:hAnsi="宋体" w:eastAsia="宋体" w:cs="宋体"/>
          <w:b/>
          <w:bCs/>
          <w:sz w:val="28"/>
          <w:szCs w:val="28"/>
        </w:rPr>
      </w:pPr>
      <w:r>
        <w:rPr>
          <w:rFonts w:hint="eastAsia" w:ascii="宋体" w:hAnsi="宋体" w:eastAsia="宋体" w:cs="宋体"/>
          <w:b/>
          <w:bCs/>
          <w:sz w:val="28"/>
          <w:szCs w:val="28"/>
        </w:rPr>
        <w:t>四、报价</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1.1报价以人民币为结算货币。</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1.2报价为包含税价、货物运送、人工等费用;</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1.3被询价人应慎重合理确定利润，自主报价，不得盲目压价，低于成本恶性竞争。</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1.4报价总金额到元为止。</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1.5各报价单位可以根据情况选择合同包报价，所报总价为:预算数量</w:t>
      </w:r>
      <w:r>
        <w:rPr>
          <w:rFonts w:hint="eastAsia" w:ascii="宋体" w:hAnsi="宋体" w:eastAsia="宋体" w:cs="宋体"/>
          <w:sz w:val="28"/>
          <w:szCs w:val="28"/>
          <w:lang w:val="en-US" w:eastAsia="zh-CN"/>
        </w:rPr>
        <w:t>X</w:t>
      </w:r>
      <w:r>
        <w:rPr>
          <w:rFonts w:hint="eastAsia" w:ascii="宋体" w:hAnsi="宋体" w:eastAsia="宋体" w:cs="宋体"/>
          <w:sz w:val="28"/>
          <w:szCs w:val="28"/>
        </w:rPr>
        <w:t>单价。</w:t>
      </w:r>
    </w:p>
    <w:p>
      <w:pPr>
        <w:ind w:firstLine="562" w:firstLineChars="200"/>
        <w:rPr>
          <w:rFonts w:hint="eastAsia" w:ascii="宋体" w:hAnsi="宋体" w:eastAsia="宋体" w:cs="宋体"/>
          <w:b/>
          <w:bCs/>
          <w:sz w:val="28"/>
          <w:szCs w:val="28"/>
        </w:rPr>
      </w:pPr>
      <w:r>
        <w:rPr>
          <w:rFonts w:hint="eastAsia" w:ascii="宋体" w:hAnsi="宋体" w:eastAsia="宋体" w:cs="宋体"/>
          <w:b/>
          <w:bCs/>
          <w:sz w:val="28"/>
          <w:szCs w:val="28"/>
        </w:rPr>
        <w:t>五、报价书的递交</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报价书递交的截止时间(投标截止时间):2022年0</w:t>
      </w:r>
      <w:r>
        <w:rPr>
          <w:rFonts w:hint="eastAsia" w:ascii="宋体" w:hAnsi="宋体" w:eastAsia="宋体" w:cs="宋体"/>
          <w:sz w:val="28"/>
          <w:szCs w:val="28"/>
          <w:lang w:val="en-US" w:eastAsia="zh-CN"/>
        </w:rPr>
        <w:t>9</w:t>
      </w:r>
      <w:r>
        <w:rPr>
          <w:rFonts w:hint="eastAsia" w:ascii="宋体" w:hAnsi="宋体" w:eastAsia="宋体" w:cs="宋体"/>
          <w:sz w:val="28"/>
          <w:szCs w:val="28"/>
        </w:rPr>
        <w:t>月</w:t>
      </w:r>
      <w:r>
        <w:rPr>
          <w:rFonts w:hint="eastAsia" w:ascii="宋体" w:hAnsi="宋体" w:eastAsia="宋体" w:cs="宋体"/>
          <w:sz w:val="28"/>
          <w:szCs w:val="28"/>
          <w:lang w:val="en-US" w:eastAsia="zh-CN"/>
        </w:rPr>
        <w:t>16</w:t>
      </w:r>
      <w:r>
        <w:rPr>
          <w:rFonts w:hint="eastAsia" w:ascii="宋体" w:hAnsi="宋体" w:eastAsia="宋体" w:cs="宋体"/>
          <w:sz w:val="28"/>
          <w:szCs w:val="28"/>
        </w:rPr>
        <w:t>日1</w:t>
      </w:r>
      <w:r>
        <w:rPr>
          <w:rFonts w:hint="eastAsia" w:ascii="宋体" w:hAnsi="宋体" w:eastAsia="宋体" w:cs="宋体"/>
          <w:sz w:val="28"/>
          <w:szCs w:val="28"/>
          <w:lang w:val="en-US" w:eastAsia="zh-CN"/>
        </w:rPr>
        <w:t>8</w:t>
      </w:r>
      <w:r>
        <w:rPr>
          <w:rFonts w:hint="eastAsia" w:ascii="宋体" w:hAnsi="宋体" w:eastAsia="宋体" w:cs="宋体"/>
          <w:sz w:val="28"/>
          <w:szCs w:val="28"/>
        </w:rPr>
        <w:t>时</w:t>
      </w:r>
      <w:r>
        <w:rPr>
          <w:rFonts w:hint="eastAsia" w:ascii="宋体" w:hAnsi="宋体" w:eastAsia="宋体" w:cs="宋体"/>
          <w:sz w:val="28"/>
          <w:szCs w:val="28"/>
          <w:lang w:val="en-US" w:eastAsia="zh-CN"/>
        </w:rPr>
        <w:t>00</w:t>
      </w:r>
      <w:r>
        <w:rPr>
          <w:rFonts w:hint="eastAsia" w:ascii="宋体" w:hAnsi="宋体" w:eastAsia="宋体" w:cs="宋体"/>
          <w:sz w:val="28"/>
          <w:szCs w:val="28"/>
        </w:rPr>
        <w:t>分，提交地点为</w:t>
      </w:r>
      <w:r>
        <w:rPr>
          <w:rFonts w:hint="eastAsia" w:ascii="宋体" w:hAnsi="宋体" w:eastAsia="宋体" w:cs="宋体"/>
          <w:sz w:val="28"/>
          <w:szCs w:val="28"/>
          <w:lang w:val="en-US" w:eastAsia="zh-CN"/>
        </w:rPr>
        <w:t>三明市将乐县</w:t>
      </w:r>
      <w:r>
        <w:rPr>
          <w:rFonts w:hint="eastAsia" w:ascii="宋体" w:hAnsi="宋体" w:eastAsia="宋体" w:cs="宋体"/>
          <w:sz w:val="28"/>
          <w:szCs w:val="28"/>
          <w:lang w:eastAsia="zh-CN"/>
        </w:rPr>
        <w:t>总医院信息科（</w:t>
      </w:r>
      <w:r>
        <w:rPr>
          <w:rFonts w:hint="eastAsia" w:ascii="宋体" w:hAnsi="宋体" w:eastAsia="宋体" w:cs="宋体"/>
          <w:sz w:val="28"/>
          <w:szCs w:val="28"/>
          <w:lang w:val="en-US" w:eastAsia="zh-CN"/>
        </w:rPr>
        <w:t>第二综合楼六楼</w:t>
      </w:r>
      <w:r>
        <w:rPr>
          <w:rFonts w:hint="eastAsia" w:ascii="宋体" w:hAnsi="宋体" w:eastAsia="宋体" w:cs="宋体"/>
          <w:sz w:val="28"/>
          <w:szCs w:val="28"/>
          <w:lang w:eastAsia="zh-CN"/>
        </w:rPr>
        <w:t>）；</w:t>
      </w:r>
      <w:r>
        <w:rPr>
          <w:rFonts w:hint="eastAsia" w:ascii="宋体" w:hAnsi="宋体" w:eastAsia="宋体" w:cs="宋体"/>
          <w:sz w:val="28"/>
          <w:szCs w:val="28"/>
        </w:rPr>
        <w:t>报价书要求密封包装并加盖单位公章，邮寄或当面递交。</w:t>
      </w:r>
    </w:p>
    <w:p>
      <w:pPr>
        <w:ind w:firstLine="562" w:firstLineChars="200"/>
        <w:rPr>
          <w:rFonts w:hint="eastAsia" w:ascii="宋体" w:hAnsi="宋体" w:eastAsia="宋体" w:cs="宋体"/>
          <w:b/>
          <w:bCs/>
          <w:sz w:val="28"/>
          <w:szCs w:val="28"/>
        </w:rPr>
      </w:pPr>
      <w:r>
        <w:rPr>
          <w:rFonts w:hint="eastAsia" w:ascii="宋体" w:hAnsi="宋体" w:eastAsia="宋体" w:cs="宋体"/>
          <w:b/>
          <w:bCs/>
          <w:sz w:val="28"/>
          <w:szCs w:val="28"/>
        </w:rPr>
        <w:t>六、联系方式</w:t>
      </w:r>
    </w:p>
    <w:p>
      <w:pPr>
        <w:rPr>
          <w:rFonts w:hint="eastAsia" w:ascii="宋体" w:hAnsi="宋体" w:eastAsia="宋体" w:cs="宋体"/>
          <w:sz w:val="28"/>
          <w:szCs w:val="28"/>
          <w:lang w:val="en-US" w:eastAsia="zh-CN"/>
        </w:rPr>
      </w:pPr>
      <w:r>
        <w:rPr>
          <w:rFonts w:hint="eastAsia" w:ascii="宋体" w:hAnsi="宋体" w:eastAsia="宋体" w:cs="宋体"/>
          <w:sz w:val="28"/>
          <w:szCs w:val="28"/>
        </w:rPr>
        <w:t>地</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址:</w:t>
      </w:r>
      <w:r>
        <w:rPr>
          <w:rFonts w:hint="eastAsia" w:ascii="宋体" w:hAnsi="宋体" w:eastAsia="宋体" w:cs="宋体"/>
          <w:sz w:val="28"/>
          <w:szCs w:val="28"/>
          <w:lang w:val="en-US" w:eastAsia="zh-CN"/>
        </w:rPr>
        <w:t>三明市将乐县三华南路43号（将乐县总医院信息科）</w:t>
      </w:r>
    </w:p>
    <w:p>
      <w:pPr>
        <w:rPr>
          <w:rFonts w:hint="eastAsia" w:ascii="宋体" w:hAnsi="宋体" w:eastAsia="宋体" w:cs="宋体"/>
          <w:sz w:val="28"/>
          <w:szCs w:val="28"/>
        </w:rPr>
      </w:pPr>
      <w:r>
        <w:rPr>
          <w:rFonts w:hint="eastAsia" w:ascii="宋体" w:hAnsi="宋体" w:eastAsia="宋体" w:cs="宋体"/>
          <w:sz w:val="28"/>
          <w:szCs w:val="28"/>
        </w:rPr>
        <w:t>邮编:</w:t>
      </w:r>
      <w:r>
        <w:rPr>
          <w:rFonts w:hint="eastAsia" w:ascii="宋体" w:hAnsi="宋体" w:eastAsia="宋体" w:cs="宋体"/>
          <w:sz w:val="28"/>
          <w:szCs w:val="28"/>
          <w:lang w:val="en-US" w:eastAsia="zh-CN"/>
        </w:rPr>
        <w:t xml:space="preserve">353300    </w:t>
      </w:r>
      <w:r>
        <w:rPr>
          <w:rFonts w:hint="eastAsia" w:ascii="宋体" w:hAnsi="宋体" w:eastAsia="宋体" w:cs="宋体"/>
          <w:sz w:val="28"/>
          <w:szCs w:val="28"/>
        </w:rPr>
        <w:t>电话</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17705986469    </w:t>
      </w:r>
      <w:r>
        <w:rPr>
          <w:rFonts w:hint="eastAsia" w:ascii="宋体" w:hAnsi="宋体" w:eastAsia="宋体" w:cs="宋体"/>
          <w:sz w:val="28"/>
          <w:szCs w:val="28"/>
        </w:rPr>
        <w:t>联系人</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小姜</w:t>
      </w:r>
    </w:p>
    <w:p>
      <w:pPr>
        <w:rPr>
          <w:rFonts w:hint="eastAsia" w:ascii="宋体" w:hAnsi="宋体" w:eastAsia="宋体" w:cs="宋体"/>
          <w:sz w:val="28"/>
          <w:szCs w:val="28"/>
        </w:rPr>
      </w:pPr>
    </w:p>
    <w:p>
      <w:pPr>
        <w:numPr>
          <w:ilvl w:val="0"/>
          <w:numId w:val="5"/>
        </w:numPr>
        <w:ind w:firstLine="562" w:firstLineChars="200"/>
        <w:rPr>
          <w:rFonts w:hint="eastAsia" w:ascii="宋体" w:hAnsi="宋体" w:eastAsia="宋体" w:cs="宋体"/>
          <w:b/>
          <w:bCs/>
          <w:sz w:val="28"/>
          <w:szCs w:val="28"/>
        </w:rPr>
      </w:pPr>
      <w:r>
        <w:rPr>
          <w:rFonts w:hint="eastAsia" w:ascii="宋体" w:hAnsi="宋体" w:eastAsia="宋体" w:cs="宋体"/>
          <w:b/>
          <w:bCs/>
          <w:sz w:val="28"/>
          <w:szCs w:val="28"/>
        </w:rPr>
        <w:t>报价书需附上建设方案或系统功能详细说明</w:t>
      </w:r>
      <w:r>
        <w:rPr>
          <w:rFonts w:hint="eastAsia" w:ascii="宋体" w:hAnsi="宋体" w:eastAsia="宋体" w:cs="宋体"/>
          <w:b/>
          <w:bCs/>
          <w:sz w:val="28"/>
          <w:szCs w:val="28"/>
          <w:lang w:eastAsia="zh-CN"/>
        </w:rPr>
        <w:t>。</w:t>
      </w:r>
    </w:p>
    <w:p>
      <w:pPr>
        <w:widowControl w:val="0"/>
        <w:numPr>
          <w:ilvl w:val="0"/>
          <w:numId w:val="0"/>
        </w:numPr>
        <w:jc w:val="both"/>
        <w:rPr>
          <w:rFonts w:hint="eastAsia" w:ascii="宋体" w:hAnsi="宋体" w:eastAsia="宋体" w:cs="宋体"/>
          <w:sz w:val="28"/>
          <w:szCs w:val="28"/>
        </w:rPr>
      </w:pPr>
    </w:p>
    <w:p>
      <w:pPr>
        <w:widowControl w:val="0"/>
        <w:numPr>
          <w:ilvl w:val="0"/>
          <w:numId w:val="0"/>
        </w:numPr>
        <w:jc w:val="center"/>
        <w:rPr>
          <w:rFonts w:hint="eastAsia" w:ascii="宋体" w:hAnsi="宋体" w:eastAsia="宋体" w:cs="宋体"/>
          <w:b/>
          <w:bCs/>
          <w:sz w:val="28"/>
          <w:szCs w:val="28"/>
        </w:rPr>
      </w:pPr>
    </w:p>
    <w:p>
      <w:pPr>
        <w:widowControl w:val="0"/>
        <w:numPr>
          <w:ilvl w:val="0"/>
          <w:numId w:val="0"/>
        </w:numPr>
        <w:jc w:val="center"/>
        <w:rPr>
          <w:rFonts w:hint="eastAsia" w:ascii="宋体" w:hAnsi="宋体" w:eastAsia="宋体" w:cs="宋体"/>
          <w:b/>
          <w:bCs/>
          <w:sz w:val="28"/>
          <w:szCs w:val="28"/>
        </w:rPr>
      </w:pPr>
      <w:r>
        <w:rPr>
          <w:rFonts w:hint="eastAsia" w:ascii="宋体" w:hAnsi="宋体" w:eastAsia="宋体" w:cs="宋体"/>
          <w:b/>
          <w:bCs/>
          <w:sz w:val="28"/>
          <w:szCs w:val="28"/>
        </w:rPr>
        <w:t>第二章 报价书</w:t>
      </w:r>
    </w:p>
    <w:p>
      <w:pPr>
        <w:widowControl w:val="0"/>
        <w:numPr>
          <w:ilvl w:val="0"/>
          <w:numId w:val="0"/>
        </w:numPr>
        <w:jc w:val="both"/>
        <w:rPr>
          <w:rFonts w:hint="eastAsia" w:ascii="宋体" w:hAnsi="宋体" w:eastAsia="宋体" w:cs="宋体"/>
          <w:sz w:val="28"/>
          <w:szCs w:val="28"/>
        </w:rPr>
      </w:pPr>
    </w:p>
    <w:p>
      <w:pPr>
        <w:widowControl w:val="0"/>
        <w:numPr>
          <w:ilvl w:val="0"/>
          <w:numId w:val="0"/>
        </w:numPr>
        <w:jc w:val="both"/>
        <w:rPr>
          <w:rFonts w:hint="eastAsia" w:ascii="宋体" w:hAnsi="宋体" w:eastAsia="宋体" w:cs="宋体"/>
          <w:sz w:val="28"/>
          <w:szCs w:val="28"/>
          <w:u w:val="single"/>
          <w:lang w:val="en-US" w:eastAsia="zh-CN"/>
        </w:rPr>
      </w:pPr>
      <w:r>
        <w:rPr>
          <w:rFonts w:hint="eastAsia" w:ascii="宋体" w:hAnsi="宋体" w:eastAsia="宋体" w:cs="宋体"/>
          <w:sz w:val="28"/>
          <w:szCs w:val="28"/>
        </w:rPr>
        <w:t>致:</w:t>
      </w:r>
      <w:r>
        <w:rPr>
          <w:rFonts w:hint="eastAsia" w:ascii="宋体" w:hAnsi="宋体" w:eastAsia="宋体" w:cs="宋体"/>
          <w:sz w:val="28"/>
          <w:szCs w:val="28"/>
          <w:u w:val="single"/>
          <w:lang w:val="en-US" w:eastAsia="zh-CN"/>
        </w:rPr>
        <w:t xml:space="preserve">          </w:t>
      </w:r>
    </w:p>
    <w:p>
      <w:pPr>
        <w:widowControl w:val="0"/>
        <w:numPr>
          <w:ilvl w:val="0"/>
          <w:numId w:val="0"/>
        </w:numPr>
        <w:ind w:firstLine="560" w:firstLineChars="200"/>
        <w:jc w:val="both"/>
        <w:rPr>
          <w:rFonts w:hint="eastAsia" w:ascii="宋体" w:hAnsi="宋体" w:eastAsia="宋体" w:cs="宋体"/>
          <w:sz w:val="28"/>
          <w:szCs w:val="28"/>
        </w:rPr>
      </w:pPr>
      <w:r>
        <w:rPr>
          <w:rFonts w:hint="eastAsia" w:ascii="宋体" w:hAnsi="宋体" w:eastAsia="宋体" w:cs="宋体"/>
          <w:sz w:val="28"/>
          <w:szCs w:val="28"/>
        </w:rPr>
        <w:t>根据贵方为</w:t>
      </w: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rPr>
        <w:t>项目的询价函，本签字代表(全名、职务)正式授权并代表被询价人提交下述报价:</w:t>
      </w:r>
    </w:p>
    <w:p>
      <w:pPr>
        <w:widowControl w:val="0"/>
        <w:numPr>
          <w:ilvl w:val="0"/>
          <w:numId w:val="0"/>
        </w:numPr>
        <w:ind w:firstLine="560" w:firstLineChars="200"/>
        <w:jc w:val="both"/>
        <w:rPr>
          <w:rFonts w:hint="eastAsia" w:ascii="宋体" w:hAnsi="宋体" w:eastAsia="宋体" w:cs="宋体"/>
          <w:sz w:val="28"/>
          <w:szCs w:val="28"/>
        </w:rPr>
      </w:pPr>
      <w:r>
        <w:rPr>
          <w:rFonts w:hint="eastAsia" w:ascii="宋体" w:hAnsi="宋体" w:eastAsia="宋体" w:cs="宋体"/>
          <w:sz w:val="28"/>
          <w:szCs w:val="28"/>
        </w:rPr>
        <w:t>据此函，签字代表宣布同意如下:</w:t>
      </w:r>
    </w:p>
    <w:p>
      <w:pPr>
        <w:widowControl w:val="0"/>
        <w:numPr>
          <w:ilvl w:val="0"/>
          <w:numId w:val="0"/>
        </w:numPr>
        <w:ind w:firstLine="560" w:firstLineChars="200"/>
        <w:jc w:val="both"/>
        <w:rPr>
          <w:rFonts w:hint="eastAsia" w:ascii="宋体" w:hAnsi="宋体" w:eastAsia="宋体" w:cs="宋体"/>
          <w:sz w:val="28"/>
          <w:szCs w:val="28"/>
        </w:rPr>
      </w:pPr>
      <w:r>
        <w:rPr>
          <w:rFonts w:hint="eastAsia" w:ascii="宋体" w:hAnsi="宋体" w:eastAsia="宋体" w:cs="宋体"/>
          <w:sz w:val="28"/>
          <w:szCs w:val="28"/>
        </w:rPr>
        <w:t>1.所附询价文件中规定的应提供的货物(服务)</w:t>
      </w: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u w:val="none"/>
          <w:lang w:val="en-US" w:eastAsia="zh-CN"/>
        </w:rPr>
        <w:t>合</w:t>
      </w:r>
      <w:r>
        <w:rPr>
          <w:rFonts w:hint="eastAsia" w:ascii="宋体" w:hAnsi="宋体" w:eastAsia="宋体" w:cs="宋体"/>
          <w:sz w:val="28"/>
          <w:szCs w:val="28"/>
        </w:rPr>
        <w:t>同包报价总价为人民币</w:t>
      </w: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rPr>
        <w:t>。</w:t>
      </w:r>
    </w:p>
    <w:p>
      <w:pPr>
        <w:widowControl w:val="0"/>
        <w:numPr>
          <w:ilvl w:val="0"/>
          <w:numId w:val="0"/>
        </w:numPr>
        <w:ind w:firstLine="560" w:firstLineChars="200"/>
        <w:jc w:val="both"/>
        <w:rPr>
          <w:rFonts w:hint="eastAsia" w:ascii="宋体" w:hAnsi="宋体" w:eastAsia="宋体" w:cs="宋体"/>
          <w:sz w:val="28"/>
          <w:szCs w:val="28"/>
        </w:rPr>
      </w:pPr>
      <w:r>
        <w:rPr>
          <w:rFonts w:hint="eastAsia" w:ascii="宋体" w:hAnsi="宋体" w:eastAsia="宋体" w:cs="宋体"/>
          <w:sz w:val="28"/>
          <w:szCs w:val="28"/>
        </w:rPr>
        <w:t>1.被询价人已详细</w:t>
      </w:r>
      <w:r>
        <w:rPr>
          <w:rFonts w:hint="eastAsia" w:ascii="宋体" w:hAnsi="宋体" w:eastAsia="宋体" w:cs="宋体"/>
          <w:sz w:val="28"/>
          <w:szCs w:val="28"/>
          <w:lang w:eastAsia="zh-CN"/>
        </w:rPr>
        <w:t>审</w:t>
      </w:r>
      <w:r>
        <w:rPr>
          <w:rFonts w:hint="eastAsia" w:ascii="宋体" w:hAnsi="宋体" w:eastAsia="宋体" w:cs="宋体"/>
          <w:sz w:val="28"/>
          <w:szCs w:val="28"/>
        </w:rPr>
        <w:t>查全部询价文件，将自行承担因对全部询价文件理解不</w:t>
      </w:r>
      <w:r>
        <w:rPr>
          <w:rFonts w:hint="eastAsia" w:ascii="宋体" w:hAnsi="宋体" w:eastAsia="宋体" w:cs="宋体"/>
          <w:sz w:val="28"/>
          <w:szCs w:val="28"/>
          <w:lang w:eastAsia="zh-CN"/>
        </w:rPr>
        <w:t>正</w:t>
      </w:r>
      <w:r>
        <w:rPr>
          <w:rFonts w:hint="eastAsia" w:ascii="宋体" w:hAnsi="宋体" w:eastAsia="宋体" w:cs="宋体"/>
          <w:sz w:val="28"/>
          <w:szCs w:val="28"/>
        </w:rPr>
        <w:t>确或误解而产生的相应后果。</w:t>
      </w:r>
    </w:p>
    <w:p>
      <w:pPr>
        <w:widowControl w:val="0"/>
        <w:numPr>
          <w:ilvl w:val="0"/>
          <w:numId w:val="0"/>
        </w:numPr>
        <w:ind w:firstLine="560" w:firstLineChars="200"/>
        <w:jc w:val="both"/>
        <w:rPr>
          <w:rFonts w:hint="eastAsia" w:ascii="宋体" w:hAnsi="宋体" w:eastAsia="宋体" w:cs="宋体"/>
          <w:sz w:val="28"/>
          <w:szCs w:val="28"/>
        </w:rPr>
      </w:pPr>
      <w:r>
        <w:rPr>
          <w:rFonts w:hint="eastAsia" w:ascii="宋体" w:hAnsi="宋体" w:eastAsia="宋体" w:cs="宋体"/>
          <w:sz w:val="28"/>
          <w:szCs w:val="28"/>
        </w:rPr>
        <w:t>2.被询价人保证遵守询价文件的全部规定，被询价人所提交的材料中所含的信息均为真实、准确、完整，且不具有任何误导性。</w:t>
      </w:r>
    </w:p>
    <w:p>
      <w:pPr>
        <w:widowControl w:val="0"/>
        <w:numPr>
          <w:ilvl w:val="0"/>
          <w:numId w:val="0"/>
        </w:numPr>
        <w:ind w:firstLine="560" w:firstLineChars="200"/>
        <w:jc w:val="both"/>
        <w:rPr>
          <w:rFonts w:hint="eastAsia" w:ascii="宋体" w:hAnsi="宋体" w:eastAsia="宋体" w:cs="宋体"/>
          <w:sz w:val="28"/>
          <w:szCs w:val="28"/>
        </w:rPr>
      </w:pPr>
      <w:r>
        <w:rPr>
          <w:rFonts w:hint="eastAsia" w:ascii="宋体" w:hAnsi="宋体" w:eastAsia="宋体" w:cs="宋体"/>
          <w:sz w:val="28"/>
          <w:szCs w:val="28"/>
        </w:rPr>
        <w:t>3、被询价人已经过现场踏勘，明确了解全部施工范围和施工内容，明确被询价人的全部权利和义务。</w:t>
      </w:r>
    </w:p>
    <w:p>
      <w:pPr>
        <w:widowControl w:val="0"/>
        <w:numPr>
          <w:ilvl w:val="0"/>
          <w:numId w:val="0"/>
        </w:numPr>
        <w:ind w:firstLine="560" w:firstLineChars="200"/>
        <w:jc w:val="both"/>
        <w:rPr>
          <w:rFonts w:hint="eastAsia" w:ascii="宋体" w:hAnsi="宋体" w:eastAsia="宋体" w:cs="宋体"/>
          <w:sz w:val="28"/>
          <w:szCs w:val="28"/>
        </w:rPr>
      </w:pPr>
      <w:r>
        <w:rPr>
          <w:rFonts w:hint="eastAsia" w:ascii="宋体" w:hAnsi="宋体" w:eastAsia="宋体" w:cs="宋体"/>
          <w:sz w:val="28"/>
          <w:szCs w:val="28"/>
        </w:rPr>
        <w:t>4.与本询价有关的一切正式往来通讯请寄:</w:t>
      </w:r>
    </w:p>
    <w:p>
      <w:pPr>
        <w:widowControl w:val="0"/>
        <w:numPr>
          <w:ilvl w:val="0"/>
          <w:numId w:val="0"/>
        </w:numPr>
        <w:ind w:firstLine="560" w:firstLineChars="200"/>
        <w:jc w:val="both"/>
        <w:rPr>
          <w:rFonts w:hint="eastAsia" w:ascii="宋体" w:hAnsi="宋体" w:eastAsia="宋体" w:cs="宋体"/>
          <w:sz w:val="28"/>
          <w:szCs w:val="28"/>
          <w:u w:val="single"/>
          <w:lang w:val="en-US" w:eastAsia="zh-CN"/>
        </w:rPr>
      </w:pPr>
      <w:r>
        <w:rPr>
          <w:rFonts w:hint="eastAsia" w:ascii="宋体" w:hAnsi="宋体" w:eastAsia="宋体" w:cs="宋体"/>
          <w:sz w:val="28"/>
          <w:szCs w:val="28"/>
        </w:rPr>
        <w:t>地址:</w:t>
      </w:r>
      <w:r>
        <w:rPr>
          <w:rFonts w:hint="eastAsia" w:ascii="宋体" w:hAnsi="宋体" w:eastAsia="宋体" w:cs="宋体"/>
          <w:sz w:val="28"/>
          <w:szCs w:val="28"/>
          <w:u w:val="single"/>
        </w:rPr>
        <w:t>_</w:t>
      </w: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rPr>
        <w:t>邮编:</w:t>
      </w:r>
      <w:r>
        <w:rPr>
          <w:rFonts w:hint="eastAsia" w:ascii="宋体" w:hAnsi="宋体" w:eastAsia="宋体" w:cs="宋体"/>
          <w:sz w:val="28"/>
          <w:szCs w:val="28"/>
          <w:u w:val="single"/>
          <w:lang w:val="en-US" w:eastAsia="zh-CN"/>
        </w:rPr>
        <w:t xml:space="preserve">                 </w:t>
      </w:r>
    </w:p>
    <w:p>
      <w:pPr>
        <w:widowControl w:val="0"/>
        <w:numPr>
          <w:ilvl w:val="0"/>
          <w:numId w:val="0"/>
        </w:numPr>
        <w:ind w:firstLine="560" w:firstLineChars="200"/>
        <w:jc w:val="both"/>
        <w:rPr>
          <w:rFonts w:hint="eastAsia" w:ascii="宋体" w:hAnsi="宋体" w:eastAsia="宋体" w:cs="宋体"/>
          <w:sz w:val="28"/>
          <w:szCs w:val="28"/>
          <w:u w:val="single"/>
          <w:lang w:val="en-US" w:eastAsia="zh-CN"/>
        </w:rPr>
      </w:pPr>
      <w:r>
        <w:rPr>
          <w:rFonts w:hint="eastAsia" w:ascii="宋体" w:hAnsi="宋体" w:eastAsia="宋体" w:cs="宋体"/>
          <w:sz w:val="28"/>
          <w:szCs w:val="28"/>
        </w:rPr>
        <w:t>电话:</w:t>
      </w: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rPr>
        <w:t>传真:</w:t>
      </w:r>
      <w:r>
        <w:rPr>
          <w:rFonts w:hint="eastAsia" w:ascii="宋体" w:hAnsi="宋体" w:eastAsia="宋体" w:cs="宋体"/>
          <w:sz w:val="28"/>
          <w:szCs w:val="28"/>
          <w:u w:val="single"/>
          <w:lang w:val="en-US" w:eastAsia="zh-CN"/>
        </w:rPr>
        <w:t xml:space="preserve">                        </w:t>
      </w:r>
    </w:p>
    <w:p>
      <w:pPr>
        <w:widowControl w:val="0"/>
        <w:numPr>
          <w:ilvl w:val="0"/>
          <w:numId w:val="0"/>
        </w:numPr>
        <w:ind w:firstLine="560" w:firstLineChars="200"/>
        <w:jc w:val="both"/>
        <w:rPr>
          <w:rFonts w:hint="eastAsia" w:ascii="宋体" w:hAnsi="宋体" w:eastAsia="宋体" w:cs="宋体"/>
          <w:sz w:val="28"/>
          <w:szCs w:val="28"/>
          <w:u w:val="single"/>
          <w:lang w:val="en-US" w:eastAsia="zh-CN"/>
        </w:rPr>
      </w:pPr>
      <w:r>
        <w:rPr>
          <w:rFonts w:hint="eastAsia" w:ascii="宋体" w:hAnsi="宋体" w:eastAsia="宋体" w:cs="宋体"/>
          <w:sz w:val="28"/>
          <w:szCs w:val="28"/>
        </w:rPr>
        <w:t>被询价人代表签字:</w:t>
      </w:r>
      <w:r>
        <w:rPr>
          <w:rFonts w:hint="eastAsia" w:ascii="宋体" w:hAnsi="宋体" w:eastAsia="宋体" w:cs="宋体"/>
          <w:sz w:val="28"/>
          <w:szCs w:val="28"/>
          <w:u w:val="single"/>
          <w:lang w:val="en-US" w:eastAsia="zh-CN"/>
        </w:rPr>
        <w:t xml:space="preserve">              </w:t>
      </w:r>
    </w:p>
    <w:p>
      <w:pPr>
        <w:widowControl w:val="0"/>
        <w:numPr>
          <w:ilvl w:val="0"/>
          <w:numId w:val="0"/>
        </w:numPr>
        <w:ind w:firstLine="560" w:firstLineChars="200"/>
        <w:jc w:val="both"/>
        <w:rPr>
          <w:rFonts w:hint="eastAsia" w:ascii="宋体" w:hAnsi="宋体" w:eastAsia="宋体" w:cs="宋体"/>
          <w:sz w:val="28"/>
          <w:szCs w:val="28"/>
          <w:u w:val="single"/>
          <w:lang w:val="en-US" w:eastAsia="zh-CN"/>
        </w:rPr>
      </w:pPr>
      <w:r>
        <w:rPr>
          <w:rFonts w:hint="eastAsia" w:ascii="宋体" w:hAnsi="宋体" w:eastAsia="宋体" w:cs="宋体"/>
          <w:sz w:val="28"/>
          <w:szCs w:val="28"/>
        </w:rPr>
        <w:t>被询价人</w:t>
      </w:r>
      <w:r>
        <w:rPr>
          <w:rFonts w:hint="eastAsia" w:ascii="宋体" w:hAnsi="宋体" w:eastAsia="宋体" w:cs="宋体"/>
          <w:sz w:val="28"/>
          <w:szCs w:val="28"/>
          <w:lang w:eastAsia="zh-CN"/>
        </w:rPr>
        <w:t>（全称并加盖公章）：</w:t>
      </w:r>
      <w:r>
        <w:rPr>
          <w:rFonts w:hint="eastAsia" w:ascii="宋体" w:hAnsi="宋体" w:eastAsia="宋体" w:cs="宋体"/>
          <w:sz w:val="28"/>
          <w:szCs w:val="28"/>
          <w:u w:val="single"/>
          <w:lang w:val="en-US" w:eastAsia="zh-CN"/>
        </w:rPr>
        <w:t xml:space="preserve">          </w:t>
      </w:r>
    </w:p>
    <w:p>
      <w:pPr>
        <w:widowControl w:val="0"/>
        <w:numPr>
          <w:ilvl w:val="0"/>
          <w:numId w:val="0"/>
        </w:numPr>
        <w:ind w:firstLine="560" w:firstLineChars="200"/>
        <w:jc w:val="both"/>
        <w:rPr>
          <w:rFonts w:hint="eastAsia" w:ascii="宋体" w:hAnsi="宋体" w:eastAsia="宋体" w:cs="宋体"/>
          <w:sz w:val="28"/>
          <w:szCs w:val="28"/>
          <w:u w:val="single"/>
          <w:lang w:val="en-US" w:eastAsia="zh-CN"/>
        </w:rPr>
      </w:pPr>
    </w:p>
    <w:p>
      <w:pPr>
        <w:widowControl w:val="0"/>
        <w:numPr>
          <w:ilvl w:val="0"/>
          <w:numId w:val="0"/>
        </w:numPr>
        <w:ind w:firstLine="560" w:firstLineChars="200"/>
        <w:jc w:val="both"/>
        <w:rPr>
          <w:rFonts w:hint="eastAsia" w:ascii="宋体" w:hAnsi="宋体" w:eastAsia="宋体" w:cs="宋体"/>
          <w:sz w:val="28"/>
          <w:szCs w:val="28"/>
          <w:u w:val="none"/>
          <w:lang w:val="en-US" w:eastAsia="zh-CN"/>
        </w:rPr>
      </w:pPr>
      <w:r>
        <w:rPr>
          <w:rFonts w:hint="eastAsia" w:ascii="宋体" w:hAnsi="宋体" w:eastAsia="宋体" w:cs="宋体"/>
          <w:sz w:val="28"/>
          <w:szCs w:val="28"/>
          <w:u w:val="none"/>
          <w:lang w:val="en-US" w:eastAsia="zh-CN"/>
        </w:rPr>
        <w:t xml:space="preserve">                                 日期：   年   月    日</w:t>
      </w:r>
    </w:p>
    <w:p>
      <w:pPr>
        <w:widowControl w:val="0"/>
        <w:numPr>
          <w:ilvl w:val="0"/>
          <w:numId w:val="0"/>
        </w:numPr>
        <w:jc w:val="both"/>
        <w:rPr>
          <w:rFonts w:hint="eastAsia" w:ascii="宋体" w:hAnsi="宋体" w:eastAsia="宋体" w:cs="宋体"/>
          <w:sz w:val="28"/>
          <w:szCs w:val="28"/>
          <w:u w:val="single"/>
          <w:lang w:val="en-US" w:eastAsia="zh-CN"/>
        </w:rPr>
      </w:pPr>
    </w:p>
    <w:p>
      <w:pPr>
        <w:widowControl w:val="0"/>
        <w:numPr>
          <w:ilvl w:val="0"/>
          <w:numId w:val="0"/>
        </w:numPr>
        <w:ind w:firstLine="560" w:firstLineChars="200"/>
        <w:jc w:val="both"/>
        <w:rPr>
          <w:rFonts w:hint="eastAsia" w:ascii="宋体" w:hAnsi="宋体" w:eastAsia="宋体" w:cs="宋体"/>
          <w:sz w:val="28"/>
          <w:szCs w:val="28"/>
          <w:u w:val="single"/>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92CAFD6"/>
    <w:multiLevelType w:val="singleLevel"/>
    <w:tmpl w:val="892CAFD6"/>
    <w:lvl w:ilvl="0" w:tentative="0">
      <w:start w:val="1"/>
      <w:numFmt w:val="chineseCounting"/>
      <w:suff w:val="nothing"/>
      <w:lvlText w:val="%1、"/>
      <w:lvlJc w:val="left"/>
      <w:rPr>
        <w:rFonts w:hint="eastAsia"/>
      </w:rPr>
    </w:lvl>
  </w:abstractNum>
  <w:abstractNum w:abstractNumId="1">
    <w:nsid w:val="04019AA8"/>
    <w:multiLevelType w:val="singleLevel"/>
    <w:tmpl w:val="04019AA8"/>
    <w:lvl w:ilvl="0" w:tentative="0">
      <w:start w:val="7"/>
      <w:numFmt w:val="chineseCounting"/>
      <w:suff w:val="nothing"/>
      <w:lvlText w:val="%1、"/>
      <w:lvlJc w:val="left"/>
      <w:rPr>
        <w:rFonts w:hint="eastAsia"/>
      </w:rPr>
    </w:lvl>
  </w:abstractNum>
  <w:abstractNum w:abstractNumId="2">
    <w:nsid w:val="1471467D"/>
    <w:multiLevelType w:val="singleLevel"/>
    <w:tmpl w:val="1471467D"/>
    <w:lvl w:ilvl="0" w:tentative="0">
      <w:start w:val="1"/>
      <w:numFmt w:val="chineseCounting"/>
      <w:suff w:val="space"/>
      <w:lvlText w:val="第%1章"/>
      <w:lvlJc w:val="left"/>
      <w:rPr>
        <w:rFonts w:hint="eastAsia"/>
      </w:rPr>
    </w:lvl>
  </w:abstractNum>
  <w:abstractNum w:abstractNumId="3">
    <w:nsid w:val="43A559ED"/>
    <w:multiLevelType w:val="multilevel"/>
    <w:tmpl w:val="43A559ED"/>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74D805D3"/>
    <w:multiLevelType w:val="singleLevel"/>
    <w:tmpl w:val="74D805D3"/>
    <w:lvl w:ilvl="0" w:tentative="0">
      <w:start w:val="1"/>
      <w:numFmt w:val="chineseCounting"/>
      <w:suff w:val="nothing"/>
      <w:lvlText w:val="%1、"/>
      <w:lvlJc w:val="left"/>
      <w:rPr>
        <w:rFonts w:hint="eastAsia"/>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YxZGYxODhjZTliZWVkMjBkMjQ3OGM3ZjA1NTZhMzcifQ=="/>
  </w:docVars>
  <w:rsids>
    <w:rsidRoot w:val="00000000"/>
    <w:rsid w:val="028C7C64"/>
    <w:rsid w:val="3083491D"/>
    <w:rsid w:val="39ED00CC"/>
    <w:rsid w:val="68AD26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paragraph" w:styleId="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2061</Words>
  <Characters>2142</Characters>
  <Lines>0</Lines>
  <Paragraphs>0</Paragraphs>
  <TotalTime>1</TotalTime>
  <ScaleCrop>false</ScaleCrop>
  <LinksUpToDate>false</LinksUpToDate>
  <CharactersWithSpaces>2372</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2022-09-08T01:15:00Z</dcterms:created>
  <dc:creator>Administrator</dc:creator>
  <cp:lastModifiedBy>嚴晓寶 </cp:lastModifiedBy>
  <dcterms:modified xsi:type="dcterms:W3CDTF">2022-09-09T03:45:18Z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y fmtid="{D5CDD505-2E9C-101B-9397-08002B2CF9AE}" pid="3" name="ICV">
    <vt:lpwstr>3EB078B5C9E949E5BB0997F476A4D74A</vt:lpwstr>
  </property>
</Properties>
</file>