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货物和服务项目询价文件</w:t>
      </w:r>
    </w:p>
    <w:p>
      <w:pPr>
        <w:pStyle w:val="style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询价项目名称：</w:t>
      </w:r>
      <w:r>
        <w:rPr>
          <w:rFonts w:hint="eastAsia"/>
          <w:b/>
          <w:bCs/>
          <w:sz w:val="32"/>
          <w:szCs w:val="32"/>
          <w:lang w:val="en-US" w:eastAsia="zh-CN"/>
        </w:rPr>
        <w:t>急诊系统</w:t>
      </w:r>
    </w:p>
    <w:p>
      <w:pPr>
        <w:pStyle w:val="style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招标人：</w:t>
      </w:r>
      <w:r>
        <w:rPr>
          <w:rFonts w:hint="eastAsia"/>
          <w:b/>
          <w:bCs/>
          <w:sz w:val="32"/>
          <w:szCs w:val="32"/>
          <w:lang w:val="en-US" w:eastAsia="zh-CN"/>
        </w:rPr>
        <w:t>将乐县总医院</w:t>
      </w:r>
      <w:r>
        <w:rPr>
          <w:rFonts w:hint="eastAsia"/>
          <w:b/>
          <w:bCs/>
          <w:sz w:val="32"/>
          <w:szCs w:val="32"/>
          <w:lang w:val="en-US" w:eastAsia="zh-CN"/>
        </w:rPr>
        <w:tab/>
      </w:r>
    </w:p>
    <w:p>
      <w:pPr>
        <w:pStyle w:val="style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日期：</w:t>
      </w:r>
      <w:r>
        <w:rPr>
          <w:rFonts w:hint="eastAsia"/>
          <w:b/>
          <w:bCs/>
          <w:sz w:val="32"/>
          <w:szCs w:val="32"/>
          <w:lang w:val="en-US" w:eastAsia="zh-CN"/>
        </w:rPr>
        <w:t>2023年5月24日</w:t>
      </w:r>
    </w:p>
    <w:p>
      <w:pPr>
        <w:pStyle w:val="style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目录</w:t>
      </w:r>
    </w:p>
    <w:p>
      <w:pPr>
        <w:pStyle w:val="style0"/>
        <w:numPr>
          <w:ilvl w:val="0"/>
          <w:numId w:val="2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询价公告</w:t>
      </w:r>
    </w:p>
    <w:p>
      <w:pPr>
        <w:pStyle w:val="style0"/>
        <w:numPr>
          <w:ilvl w:val="0"/>
          <w:numId w:val="2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报价书</w:t>
      </w:r>
    </w:p>
    <w:p>
      <w:pPr>
        <w:pStyle w:val="style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询价公告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三明市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将乐县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总医院</w:t>
      </w:r>
      <w:r>
        <w:rPr>
          <w:rFonts w:ascii="宋体" w:cs="宋体" w:eastAsia="宋体" w:hAnsi="宋体" w:hint="eastAsia"/>
          <w:sz w:val="28"/>
          <w:szCs w:val="28"/>
        </w:rPr>
        <w:t>就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急诊系统</w:t>
      </w:r>
      <w:r>
        <w:rPr>
          <w:rFonts w:ascii="宋体" w:cs="宋体" w:eastAsia="宋体" w:hAnsi="宋体" w:hint="eastAsia"/>
          <w:sz w:val="28"/>
          <w:szCs w:val="28"/>
        </w:rPr>
        <w:t>进行公开询价，欢迎国内具有资质条件的供应商前来参加报价。</w:t>
      </w:r>
    </w:p>
    <w:p>
      <w:pPr>
        <w:pStyle w:val="style0"/>
        <w:rPr>
          <w:rFonts w:ascii="宋体" w:cs="宋体" w:eastAsia="宋体" w:hAnsi="宋体" w:hint="default"/>
          <w:sz w:val="28"/>
          <w:szCs w:val="28"/>
          <w:lang w:val="en-US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一、项目名称</w:t>
      </w:r>
      <w:r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  <w:t>：</w:t>
      </w: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急诊系统</w:t>
      </w:r>
    </w:p>
    <w:p>
      <w:pPr>
        <w:pStyle w:val="style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二、项目内容及要求:</w:t>
      </w:r>
    </w:p>
    <w:bookmarkStart w:id="0" w:name="_Toc11626"/>
    <w:p>
      <w:pPr>
        <w:pStyle w:val="style1"/>
        <w:numPr>
          <w:ilvl w:val="0"/>
          <w:numId w:val="0"/>
        </w:numPr>
        <w:ind w:leftChars="0" w:firstLine="281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1.</w:t>
      </w:r>
      <w:r>
        <w:rPr>
          <w:rFonts w:ascii="宋体" w:cs="宋体" w:eastAsia="宋体" w:hAnsi="宋体" w:hint="eastAsia"/>
          <w:sz w:val="28"/>
          <w:szCs w:val="28"/>
        </w:rPr>
        <w:t>急诊预检分诊工作站</w:t>
      </w:r>
      <w:bookmarkEnd w:id="0"/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系统符合卫健委的《急诊患者病情分级试点指导原则（2011 征求意见稿）》要求。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系统按照《医院急诊科规范化流程》（WS/T390-2012）执行病情分诊程序。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系统符合《急诊预检分诊专家共识（2018年版）》标准。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读卡器对接，实现预检分诊快速读取患者基本信息进行登记。常见就诊卡、医保卡、身份证、电子健康卡、扫描患者微信二维码（院内公众号）等多种方式进行选择。支持直接录入患者身份信息、发病时间、来院方式、主诉等内容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支持不同年龄的显示规则。可根据医院规则进行定制，如：（小于三小时显示分钟，小于3天显示小时，小于1年显示天，小于14岁显示岁月大于等于14显示岁）。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支持直接录入患者基本信息、身份信息、来院方式、发病时间、主诉等内容。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支持与院内系统对接，自动获取患者挂号信息。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支持特殊人群登记与标识，如无名氏、群伤患者、120患者、老人、儿童、孕产妇等，建立特殊患者标识，方便患者信息追踪。</w:t>
      </w:r>
    </w:p>
    <w:bookmarkStart w:id="1" w:name="_Hlk28357387"/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支持三无患者登记，预先分配分诊号，后期可匹配挂号信息。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支持群伤患者管理与标识，快速建立群伤患者列表，支持批量分诊功能，批量分诊完成后可随时补充患者的详细分诊信息。</w:t>
      </w:r>
      <w:bookmarkEnd w:id="1"/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支持120患者登记，能够登记120车辆信息。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支持绿色通道建立与标识，对于绿色通道等紧急抢救患者，允许选定床旁监护仪，自动采集体征数据，补录分诊信息。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支持患者生命体征数据：血压、心率、SPO</w:t>
      </w:r>
      <w:r>
        <w:rPr>
          <w:rFonts w:ascii="宋体" w:cs="宋体" w:eastAsia="宋体" w:hAnsi="宋体" w:hint="eastAsia"/>
          <w:sz w:val="28"/>
          <w:szCs w:val="28"/>
          <w:vertAlign w:val="subscript"/>
        </w:rPr>
        <w:t>2</w:t>
      </w:r>
      <w:r>
        <w:rPr>
          <w:rFonts w:ascii="宋体" w:cs="宋体" w:eastAsia="宋体" w:hAnsi="宋体" w:hint="eastAsia"/>
          <w:sz w:val="28"/>
          <w:szCs w:val="28"/>
        </w:rPr>
        <w:t>、呼吸、体温的自动采集和直接录入。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支持分诊时采集不同区域的监护仪数据，获取准确的患者生命体征。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支持生命体征数据自动化分级。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支持自定义生命体征分级推荐策略。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支持患者评分管理，包括：MEWS评分、REMS评分、GCS评分、创伤评分、疼痛评分，支持通过评分进行自动化分级。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患者评分支持已获取的数据自动代入，主观数据快速点选，自动计算分值。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支持分诊知识库（症状分类、主诉、判定依据）进行自动化分级并关联患者分诊去向。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支持授权人员自定义维护分诊知识库，符合医院实际分诊业务流程。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支持根据常见的急诊患者症状进行快捷分诊，支持自动化分级并关联患者分诊去向。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支持人工更改自动化分级和去向信息，同时填写分级更改理由。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支持人工选择患者分诊级别和去向。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支持分诊后打印腕带或分诊条，可以根据医院需要配置打印的信息。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支持分诊各项指标统计 ，如分诊人数、分级患者比例、三无患者占比等。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支持统计报表，急诊日报表、分诊病人登记表、分诊工作量统计表自动生成，能够打印和导出。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急诊分诊常用统计功能，可以统计的指标有：分诊患者性别比例分布、预检分诊分级分布、分诊患者评分使用情况统计、分诊患者分诊去向统计、分诊患者年龄分布统计、分诊准确率统计等指标。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支持先分诊后挂号，先挂号后分诊，分诊的同时挂号，三种模式适应医院不同的业务流程。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支持预留120院前系统集成接口，方便实现院前院内无缝衔接。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支持分诊来院方式“外院转入”时，可选择转入医院。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支持分诊记录绿色通道患者发病时间。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支持已分诊的患者进行群伤标识关联。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支持预留分诊队列与院内叫号系统集成 ，实现按照分诊级别有序就诊。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患者分诊去向支持单去向和多去向两种模式。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分诊患者列表支持多种方式查询筛选患者（时间，姓名，绿色通道标识，去向）。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支持患者基本信息建档功能。</w:t>
      </w:r>
    </w:p>
    <w:p>
      <w:pPr>
        <w:pStyle w:val="style4097"/>
        <w:numPr>
          <w:ilvl w:val="0"/>
          <w:numId w:val="3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分诊患者列表支持导出患者信息。</w:t>
      </w:r>
    </w:p>
    <w:bookmarkStart w:id="2" w:name="_Toc4086"/>
    <w:p>
      <w:pPr>
        <w:pStyle w:val="style1"/>
        <w:numPr>
          <w:ilvl w:val="0"/>
          <w:numId w:val="0"/>
        </w:numPr>
        <w:ind w:firstLine="281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2.</w:t>
      </w:r>
      <w:r>
        <w:rPr>
          <w:rFonts w:ascii="宋体" w:cs="宋体" w:eastAsia="宋体" w:hAnsi="宋体" w:hint="eastAsia"/>
          <w:sz w:val="28"/>
          <w:szCs w:val="28"/>
        </w:rPr>
        <w:t>患者管理工作站</w:t>
      </w:r>
      <w:bookmarkEnd w:id="2"/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支持医生按照分诊去向科室区域自动筛选就诊患者。支持按照区域区分展示患者列表。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支持右键快捷键操作，编辑患者基本信息，打印腕带，打印床卡，患者出科，转区。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支持特殊图例对患者进行标记，未入科，医嘱未执行，特殊关注患者，已挂号。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患者展示，支持床卡模式和患者列表两种展示方式。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患者概览支持录入诊断，过敏信息，查看生命体征，查看分诊评分，查看患者流转记录，支持查看修改完善患者基本信息。支持分诊级别调整；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支持展示患者绿道标识。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患者列表支持按照区域，按照就诊状态（已诊，待诊）按照姓名，床号，患者ID进行快速检索定位查找。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支持患者结束就诊，患者转区，患者出科操作。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支持患者评分管理，医生和护理人员可录入疼痛评分，MEWS评分，GCS评分（儿童/成人）。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支持评分自动生成趋势图，方便查看。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支持查看患者360全景，展示患者医嘱，病历文书，检查，检验信息，展示患者在科期间呼吸，体温，心率趋势图曲线。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支持患者本院病史查看，包括，历史医嘱，历史报告，历史病历，历史分诊记录。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支持患者召回，通过查询历史患者信息，对患者进行出科召回操作。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支持时间轴展示患者分诊、入科、检验检查开立、会诊申请、转区等关键医疗行为节点信息。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支持一键操作患者的转区和出科，自动记录流转信息。</w:t>
      </w:r>
    </w:p>
    <w:p>
      <w:pPr>
        <w:pStyle w:val="style4097"/>
        <w:numPr>
          <w:ilvl w:val="0"/>
          <w:numId w:val="4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支持用户登录密码复杂度设置，支持长时间用户不操作界面自动锁定。</w:t>
      </w:r>
    </w:p>
    <w:bookmarkStart w:id="3" w:name="_Toc840"/>
    <w:bookmarkStart w:id="4" w:name="_Toc90468298"/>
    <w:p>
      <w:pPr>
        <w:pStyle w:val="style1"/>
        <w:numPr>
          <w:ilvl w:val="0"/>
          <w:numId w:val="0"/>
        </w:numPr>
        <w:ind w:leftChars="0" w:firstLine="281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3.</w:t>
      </w:r>
      <w:r>
        <w:rPr>
          <w:rFonts w:ascii="宋体" w:cs="宋体" w:eastAsia="宋体" w:hAnsi="宋体" w:hint="eastAsia"/>
          <w:sz w:val="28"/>
          <w:szCs w:val="28"/>
        </w:rPr>
        <w:t>急诊护理工作站（抢救区）</w:t>
      </w:r>
      <w:bookmarkEnd w:id="3"/>
      <w:bookmarkEnd w:id="4"/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提供列表、床卡两种模式展示在科患者信息，展示信息可配置。 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患者床位管理：提供入出科、转床功能。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支持患者入科，能够进行床位分配及相关信息录入。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患者列表支持按区域、距挂号时间过滤患者信息。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患者列表支持根据患者ID、姓名、床号精准搜索。</w:t>
      </w:r>
    </w:p>
    <w:p>
      <w:pPr>
        <w:pStyle w:val="style4098"/>
        <w:numPr>
          <w:ilvl w:val="0"/>
          <w:numId w:val="5"/>
        </w:numPr>
        <w:spacing w:lineRule="auto" w:line="360"/>
        <w:ind w:firstLineChars="0"/>
        <w:jc w:val="left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患者列表支持标记重点关注的患者，通过图标的颜色变化提醒用户关注的患者，点击图标后，能够编辑或显示重点关注的内容。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患者列表支持提示患者的未执行医嘱内容。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支持医嘱自动转抄，系统记录护士对医嘱的核对、执行。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支持将医嘱自动根据频次、时间拆分，护士可根据排班班次信息筛选医嘱，并计划执行。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支持新医嘱提醒，患者列表图标闪烁。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支持快速录入观察项/出入量/导管信息。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护理文书支持快速记录模板，支持动态结构化病情录入，在关键词上用点选的方式，快速录入护理文书，用户可以维护模板内容，缩减护士书写护理文书的时间，规范医疗文书。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支持已获取的数据自动代入特护单，支持特护单的放大和缩小、翻页、打印预览和打印。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支持患者出入量统计：根据医嘱执行情况帮助计算补液量，支持手动修改换算用药剂量；提供患者出入量的记录，帮助统计一段时间内的出入总量和平衡量。 </w:t>
      </w:r>
    </w:p>
    <w:bookmarkStart w:id="5" w:name="_Hlk26974210"/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支持患者导管记录：提供插管时间、重置及拔管时间，记录导管的类型、规格、引流液的颜色、性质及量，穿刺部位的皮肤情况。</w:t>
      </w:r>
      <w:bookmarkEnd w:id="5"/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支持患者观察项记录：自动汇总床边设备能够采集到的生命体征数据。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支持编辑及打印护理评估单。 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支持皮试医嘱执行及皮试结果录入，支持与电子医嘱系统对接，能够将皮试结果反馈给医生。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支持毒麻药品护士执行双核对，余液处理的记录。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医嘱执行内容支持颜色对医嘱执行状态进行区分，方便展示医嘱各个执行状态。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支持打印输液贴。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支持打印腕带。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支持打印床头卡，巡视卡。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支持批量核对医嘱，批量执行医嘱。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支持皮试结果双核对，支持录入药品批号，支持皮试结果回传第三方。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支持体温单。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支持书写特殊护理记录单。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支持书写一般护理记录单。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支持抢救护理记录单模板根据患者流转切换，完成精细化记录。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支持定制化特护单模板。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支持护理评分。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支持医嘱执行药品备用量设置。支持液体医嘱分多次执行。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支持病情记录个人模板/公共模板维护，快速完成病情记录。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支持医嘱执行分类显示，按照医嘱类型进行分类，如：药品，检查，检验，嘱托等医嘱类型。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特护单支持按照班次自动汇总出入量。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特护单支持自动汇总医嘱执行药品的出入量。</w:t>
      </w:r>
    </w:p>
    <w:p>
      <w:pPr>
        <w:pStyle w:val="style4097"/>
        <w:numPr>
          <w:ilvl w:val="0"/>
          <w:numId w:val="5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特护单书写病情记录支持插入检查，检验结果。</w:t>
      </w:r>
    </w:p>
    <w:p>
      <w:pPr>
        <w:pStyle w:val="style4097"/>
        <w:numPr>
          <w:ilvl w:val="0"/>
          <w:numId w:val="0"/>
        </w:numPr>
        <w:spacing w:lineRule="auto" w:line="360"/>
        <w:ind w:left="420" w:leftChars="0"/>
        <w:rPr>
          <w:rFonts w:ascii="宋体" w:cs="宋体" w:eastAsia="宋体" w:hAnsi="宋体" w:hint="eastAsia"/>
          <w:sz w:val="28"/>
          <w:szCs w:val="28"/>
        </w:rPr>
      </w:pPr>
    </w:p>
    <w:bookmarkStart w:id="6" w:name="_Toc20389"/>
    <w:p>
      <w:pPr>
        <w:pStyle w:val="style1"/>
        <w:numPr>
          <w:ilvl w:val="0"/>
          <w:numId w:val="0"/>
        </w:numPr>
        <w:ind w:leftChars="0" w:firstLine="281" w:firstLineChars="1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4.</w:t>
      </w:r>
      <w:r>
        <w:rPr>
          <w:rFonts w:ascii="宋体" w:cs="宋体" w:eastAsia="宋体" w:hAnsi="宋体" w:hint="eastAsia"/>
          <w:sz w:val="28"/>
          <w:szCs w:val="28"/>
        </w:rPr>
        <w:t>设备连接</w:t>
      </w:r>
      <w:bookmarkEnd w:id="6"/>
    </w:p>
    <w:p>
      <w:pPr>
        <w:pStyle w:val="style4097"/>
        <w:numPr>
          <w:ilvl w:val="0"/>
          <w:numId w:val="6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接入抢救区Philips、迈瑞、GE主流品牌监护仪及呼吸机。（需要提供协议和具备输出端口）</w:t>
      </w:r>
    </w:p>
    <w:p>
      <w:pPr>
        <w:pStyle w:val="style4097"/>
        <w:numPr>
          <w:ilvl w:val="0"/>
          <w:numId w:val="6"/>
        </w:numPr>
        <w:spacing w:lineRule="auto" w:line="360"/>
        <w:ind w:firstLineChars="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接入Roche、GEM、Alere主流品牌血气、心肌标志物POCT。（需要提供协议和具备输出端口）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</w:p>
    <w:p>
      <w:pPr>
        <w:pStyle w:val="style0"/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5.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接口</w:t>
      </w: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需求</w:t>
      </w:r>
    </w:p>
    <w:p>
      <w:pPr>
        <w:pStyle w:val="style0"/>
        <w:ind w:firstLine="560" w:firstLineChars="200"/>
        <w:rPr>
          <w:rFonts w:ascii="宋体" w:cs="宋体" w:eastAsia="宋体" w:hAnsi="宋体" w:hint="default"/>
          <w:sz w:val="28"/>
          <w:szCs w:val="28"/>
          <w:lang w:val="en-US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需保证与医院现有相关系统进行无缝对接；</w:t>
      </w:r>
    </w:p>
    <w:p>
      <w:pPr>
        <w:pStyle w:val="style0"/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6.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 xml:space="preserve"> 满足电子病历应用评级</w:t>
      </w:r>
      <w:r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  <w:t>四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级、互联互通</w:t>
      </w:r>
      <w:r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  <w:t>四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级</w:t>
      </w:r>
      <w:r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  <w:t>甲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等需求</w:t>
      </w:r>
    </w:p>
    <w:p>
      <w:pPr>
        <w:pStyle w:val="style0"/>
        <w:rPr>
          <w:rFonts w:ascii="宋体" w:cs="宋体" w:eastAsia="宋体" w:hAnsi="宋体" w:hint="eastAsia"/>
          <w:color w:val="auto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color w:val="auto"/>
          <w:sz w:val="28"/>
          <w:szCs w:val="28"/>
          <w:lang w:eastAsia="zh-CN"/>
        </w:rPr>
        <w:t>注：系统必须包括但不限于以上功能要求；模块名称可以不一样，模块功能必须满足；报价总额含接口费（</w:t>
      </w:r>
      <w:r>
        <w:rPr>
          <w:rFonts w:ascii="宋体" w:cs="宋体" w:eastAsia="宋体" w:hAnsi="宋体" w:hint="eastAsia"/>
          <w:color w:val="auto"/>
          <w:sz w:val="28"/>
          <w:szCs w:val="28"/>
          <w:lang w:val="en-US" w:eastAsia="zh-CN"/>
        </w:rPr>
        <w:t>接口费包含已建、在建、未建的系统</w:t>
      </w:r>
      <w:r>
        <w:rPr>
          <w:rFonts w:ascii="宋体" w:cs="宋体" w:eastAsia="宋体" w:hAnsi="宋体" w:hint="eastAsia"/>
          <w:color w:val="auto"/>
          <w:sz w:val="28"/>
          <w:szCs w:val="28"/>
          <w:lang w:eastAsia="zh-CN"/>
        </w:rPr>
        <w:t>）。</w:t>
      </w:r>
    </w:p>
    <w:p>
      <w:pPr>
        <w:pStyle w:val="style0"/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三、被询价人的资格要求</w:t>
      </w:r>
      <w:r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  <w:t>：</w:t>
      </w:r>
      <w:r>
        <w:rPr>
          <w:rFonts w:ascii="宋体" w:cs="宋体" w:eastAsia="宋体" w:hAnsi="宋体" w:hint="eastAsia"/>
          <w:b/>
          <w:bCs/>
          <w:sz w:val="28"/>
          <w:szCs w:val="28"/>
        </w:rPr>
        <w:t>符合《中华人民共和国政府采购法》第二十二条、二十四条及本询价文件规定条件的供应商。</w:t>
      </w:r>
    </w:p>
    <w:p>
      <w:pPr>
        <w:pStyle w:val="style0"/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四、报价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1.1报价以人民币为结算货币。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1.2报价为包含税价、货物运送、人工等费用;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1.3被询价人应慎重合理确定利润，自主报价，不得盲目压价，低于成本恶性竞争。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1.4报价总金额到元为止。</w:t>
      </w:r>
    </w:p>
    <w:p>
      <w:pPr>
        <w:pStyle w:val="style0"/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五、报价书的递交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报价书递交的截止时间(投标截止时间):202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</w:t>
      </w:r>
      <w:r>
        <w:rPr>
          <w:rFonts w:ascii="宋体" w:cs="宋体" w:eastAsia="宋体" w:hAnsi="宋体" w:hint="eastAsia"/>
          <w:sz w:val="28"/>
          <w:szCs w:val="28"/>
        </w:rPr>
        <w:t>年0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5</w:t>
      </w:r>
      <w:r>
        <w:rPr>
          <w:rFonts w:ascii="宋体" w:cs="宋体" w:eastAsia="宋体" w:hAnsi="宋体" w:hint="eastAsia"/>
          <w:sz w:val="28"/>
          <w:szCs w:val="28"/>
        </w:rPr>
        <w:t>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31</w:t>
      </w:r>
      <w:bookmarkStart w:id="7" w:name="_GoBack"/>
      <w:bookmarkEnd w:id="7"/>
      <w:r>
        <w:rPr>
          <w:rFonts w:ascii="宋体" w:cs="宋体" w:eastAsia="宋体" w:hAnsi="宋体" w:hint="eastAsia"/>
          <w:sz w:val="28"/>
          <w:szCs w:val="28"/>
        </w:rPr>
        <w:t>日1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8</w:t>
      </w:r>
      <w:r>
        <w:rPr>
          <w:rFonts w:ascii="宋体" w:cs="宋体" w:eastAsia="宋体" w:hAnsi="宋体" w:hint="eastAsia"/>
          <w:sz w:val="28"/>
          <w:szCs w:val="28"/>
        </w:rPr>
        <w:t>时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00</w:t>
      </w:r>
      <w:r>
        <w:rPr>
          <w:rFonts w:ascii="宋体" w:cs="宋体" w:eastAsia="宋体" w:hAnsi="宋体" w:hint="eastAsia"/>
          <w:sz w:val="28"/>
          <w:szCs w:val="28"/>
        </w:rPr>
        <w:t>分，提交地点为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三明市将乐县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总医院信息科（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第二综合楼六楼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）；</w:t>
      </w:r>
      <w:r>
        <w:rPr>
          <w:rFonts w:ascii="宋体" w:cs="宋体" w:eastAsia="宋体" w:hAnsi="宋体" w:hint="eastAsia"/>
          <w:sz w:val="28"/>
          <w:szCs w:val="28"/>
        </w:rPr>
        <w:t>报价书要求密封包装并加盖单位公章，邮寄或当面递交。</w:t>
      </w:r>
    </w:p>
    <w:p>
      <w:pPr>
        <w:pStyle w:val="style0"/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六、联系方式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地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宋体" w:eastAsia="宋体" w:hAnsi="宋体" w:hint="eastAsia"/>
          <w:sz w:val="28"/>
          <w:szCs w:val="28"/>
        </w:rPr>
        <w:t>址: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三明市将乐县三华南路43号（将乐县总医院信息科）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邮编: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353300    </w:t>
      </w:r>
      <w:r>
        <w:rPr>
          <w:rFonts w:ascii="宋体" w:cs="宋体" w:eastAsia="宋体" w:hAnsi="宋体" w:hint="eastAsia"/>
          <w:sz w:val="28"/>
          <w:szCs w:val="28"/>
        </w:rPr>
        <w:t>电话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：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0598-5020252    </w:t>
      </w:r>
      <w:r>
        <w:rPr>
          <w:rFonts w:ascii="宋体" w:cs="宋体" w:eastAsia="宋体" w:hAnsi="宋体" w:hint="eastAsia"/>
          <w:sz w:val="28"/>
          <w:szCs w:val="28"/>
        </w:rPr>
        <w:t>联系人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：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小姜</w:t>
      </w:r>
    </w:p>
    <w:p>
      <w:pPr>
        <w:pStyle w:val="style0"/>
        <w:rPr>
          <w:rFonts w:ascii="宋体" w:cs="宋体" w:eastAsia="宋体" w:hAnsi="宋体" w:hint="eastAsia"/>
          <w:b/>
          <w:bCs/>
          <w:sz w:val="28"/>
          <w:szCs w:val="28"/>
        </w:rPr>
      </w:pPr>
    </w:p>
    <w:p>
      <w:pPr>
        <w:pStyle w:val="style0"/>
        <w:numPr>
          <w:ilvl w:val="0"/>
          <w:numId w:val="7"/>
        </w:numPr>
        <w:ind w:firstLine="562" w:firstLineChars="200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报价书需附上建设方案或系统功能详细说明</w:t>
      </w:r>
      <w:r>
        <w:rPr>
          <w:rFonts w:ascii="宋体" w:cs="宋体" w:eastAsia="宋体" w:hAnsi="宋体" w:hint="eastAsia"/>
          <w:b/>
          <w:bCs/>
          <w:sz w:val="28"/>
          <w:szCs w:val="28"/>
          <w:lang w:eastAsia="zh-CN"/>
        </w:rPr>
        <w:t>。</w:t>
      </w:r>
    </w:p>
    <w:p>
      <w:pPr>
        <w:pStyle w:val="style0"/>
        <w:widowControl w:val="false"/>
        <w:numPr>
          <w:ilvl w:val="0"/>
          <w:numId w:val="0"/>
        </w:numPr>
        <w:jc w:val="both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0"/>
        </w:numPr>
        <w:jc w:val="center"/>
        <w:rPr>
          <w:rFonts w:ascii="宋体" w:cs="宋体" w:eastAsia="宋体" w:hAnsi="宋体" w:hint="eastAsia"/>
          <w:b/>
          <w:bCs/>
          <w:sz w:val="28"/>
          <w:szCs w:val="28"/>
        </w:rPr>
      </w:pPr>
    </w:p>
    <w:p>
      <w:pPr>
        <w:pStyle w:val="style0"/>
        <w:widowControl w:val="false"/>
        <w:numPr>
          <w:ilvl w:val="0"/>
          <w:numId w:val="0"/>
        </w:numPr>
        <w:jc w:val="center"/>
        <w:rPr>
          <w:rFonts w:ascii="宋体" w:cs="宋体" w:eastAsia="宋体" w:hAnsi="宋体" w:hint="eastAsia"/>
          <w:b/>
          <w:bCs/>
          <w:sz w:val="28"/>
          <w:szCs w:val="28"/>
        </w:rPr>
      </w:pPr>
      <w:r>
        <w:rPr>
          <w:rFonts w:ascii="宋体" w:cs="宋体" w:eastAsia="宋体" w:hAnsi="宋体" w:hint="eastAsia"/>
          <w:b/>
          <w:bCs/>
          <w:sz w:val="28"/>
          <w:szCs w:val="28"/>
        </w:rPr>
        <w:t>第二章 报价书</w:t>
      </w:r>
    </w:p>
    <w:p>
      <w:pPr>
        <w:pStyle w:val="style0"/>
        <w:widowControl w:val="false"/>
        <w:numPr>
          <w:ilvl w:val="0"/>
          <w:numId w:val="0"/>
        </w:numPr>
        <w:jc w:val="both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0"/>
        </w:numPr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致: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根据贵方为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ascii="宋体" w:cs="宋体" w:eastAsia="宋体" w:hAnsi="宋体" w:hint="eastAsia"/>
          <w:sz w:val="28"/>
          <w:szCs w:val="28"/>
        </w:rPr>
        <w:t>项目的询价函，本签字代表(全名、职务)正式授权并代表被询价人提交下述报价: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据此函，签字代表宣布同意如下: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1.所附询价文件中规定的应提供的货物(服务)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cs="宋体" w:eastAsia="宋体" w:hAnsi="宋体" w:hint="eastAsia"/>
          <w:sz w:val="28"/>
          <w:szCs w:val="28"/>
          <w:u w:val="none"/>
          <w:lang w:val="en-US" w:eastAsia="zh-CN"/>
        </w:rPr>
        <w:t>合</w:t>
      </w:r>
      <w:r>
        <w:rPr>
          <w:rFonts w:ascii="宋体" w:cs="宋体" w:eastAsia="宋体" w:hAnsi="宋体" w:hint="eastAsia"/>
          <w:sz w:val="28"/>
          <w:szCs w:val="28"/>
        </w:rPr>
        <w:t>同包报价总价为人民币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1.被询价人已详细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审</w:t>
      </w:r>
      <w:r>
        <w:rPr>
          <w:rFonts w:ascii="宋体" w:cs="宋体" w:eastAsia="宋体" w:hAnsi="宋体" w:hint="eastAsia"/>
          <w:sz w:val="28"/>
          <w:szCs w:val="28"/>
        </w:rPr>
        <w:t>查全部询价文件，将自行承担因对全部询价文件理解不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正</w:t>
      </w:r>
      <w:r>
        <w:rPr>
          <w:rFonts w:ascii="宋体" w:cs="宋体" w:eastAsia="宋体" w:hAnsi="宋体" w:hint="eastAsia"/>
          <w:sz w:val="28"/>
          <w:szCs w:val="28"/>
        </w:rPr>
        <w:t>确或误解而产生的相应后果。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2.被询价人保证遵守询价文件的全部规定，被询价人所提交的材料中所含的信息均为真实、准确、完整，且不具有任何误导性。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3、被询价人已经过现场踏勘，明确了解全部施工范围和施工内容，明确被询价人的全部权利和义务。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4.与本询价有关的一切正式往来通讯请寄: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地址:</w:t>
      </w:r>
      <w:r>
        <w:rPr>
          <w:rFonts w:ascii="宋体" w:cs="宋体" w:eastAsia="宋体" w:hAnsi="宋体" w:hint="eastAsia"/>
          <w:sz w:val="28"/>
          <w:szCs w:val="28"/>
          <w:u w:val="single"/>
        </w:rPr>
        <w:t>_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ascii="宋体" w:cs="宋体" w:eastAsia="宋体" w:hAnsi="宋体" w:hint="eastAsia"/>
          <w:sz w:val="28"/>
          <w:szCs w:val="28"/>
        </w:rPr>
        <w:t>邮编: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电话: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宋体" w:cs="宋体" w:eastAsia="宋体" w:hAnsi="宋体" w:hint="eastAsia"/>
          <w:sz w:val="28"/>
          <w:szCs w:val="28"/>
        </w:rPr>
        <w:t>传真: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被询价人代表签字: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被询价人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（全称并加盖公章）：</w:t>
      </w:r>
      <w:r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u w:val="none"/>
          <w:lang w:val="en-US" w:eastAsia="zh-CN"/>
        </w:rPr>
        <w:t xml:space="preserve">                                 日期：   年   月    日</w:t>
      </w:r>
    </w:p>
    <w:p>
      <w:pPr>
        <w:pStyle w:val="style0"/>
        <w:widowControl w:val="false"/>
        <w:numPr>
          <w:ilvl w:val="0"/>
          <w:numId w:val="0"/>
        </w:numPr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</w:p>
    <w:p>
      <w:pPr>
        <w:pStyle w:val="style0"/>
        <w:widowControl w:val="false"/>
        <w:numPr>
          <w:ilvl w:val="0"/>
          <w:numId w:val="0"/>
        </w:numPr>
        <w:ind w:firstLine="560" w:firstLineChars="200"/>
        <w:jc w:val="both"/>
        <w:rPr>
          <w:rFonts w:ascii="宋体" w:cs="宋体" w:eastAsia="宋体" w:hAnsi="宋体" w:hint="eastAsia"/>
          <w:sz w:val="28"/>
          <w:szCs w:val="28"/>
          <w:u w:val="single"/>
          <w:lang w:val="en-US" w:eastAsia="zh-CN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decorative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pStyle w:val="style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0000005"/>
    <w:multiLevelType w:val="singleLevel"/>
    <w:tmpl w:val="04019AA8"/>
    <w:lvl w:ilvl="0">
      <w:start w:val="7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6">
    <w:nsid w:val="00000006"/>
    <w:multiLevelType w:val="singleLevel"/>
    <w:tmpl w:val="1471467D"/>
    <w:lvl w:ilvl="0">
      <w:start w:val="1"/>
      <w:numFmt w:val="chineseCounting"/>
      <w:suff w:val="space"/>
      <w:lvlText w:val="第%1章"/>
      <w:lvlJc w:val="left"/>
      <w:pPr/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numPr>
        <w:ilvl w:val="0"/>
        <w:numId w:val="1"/>
      </w:numPr>
      <w:spacing w:lineRule="auto" w:line="578"/>
      <w:outlineLvl w:val="0"/>
    </w:pPr>
    <w:rPr>
      <w:rFonts w:ascii="仿宋" w:eastAsia="仿宋" w:hAnsi="仿宋"/>
      <w:b/>
      <w:bCs/>
      <w:kern w:val="44"/>
      <w:sz w:val="32"/>
      <w:szCs w:val="44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99"/>
    <w:pPr>
      <w:spacing w:after="120"/>
    </w:pPr>
    <w:rPr/>
  </w:style>
  <w:style w:type="paragraph" w:customStyle="1" w:styleId="style4097">
    <w:name w:val="列出段落1"/>
    <w:basedOn w:val="style0"/>
    <w:next w:val="style4097"/>
    <w:qFormat/>
    <w:uiPriority w:val="99"/>
    <w:pPr>
      <w:ind w:firstLine="200" w:firstLineChars="200"/>
    </w:pPr>
    <w:rPr>
      <w:rFonts w:ascii="Calibri" w:cs="Times New Roman" w:eastAsia="宋体" w:hAnsi="Calibri"/>
    </w:rPr>
  </w:style>
  <w:style w:type="paragraph" w:customStyle="1" w:styleId="style4098">
    <w:name w:val="_Style 3"/>
    <w:basedOn w:val="style0"/>
    <w:next w:val="style4098"/>
    <w:qFormat/>
    <w:uiPriority w:val="99"/>
    <w:pPr>
      <w:ind w:firstLine="200" w:firstLineChars="200"/>
    </w:pPr>
    <w:rPr>
      <w:rFonts w:ascii="Calibri" w:cs="Times New Roman" w:eastAsia="宋体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3737</Words>
  <Pages>4</Pages>
  <Characters>3854</Characters>
  <Application>WPS Office</Application>
  <DocSecurity>0</DocSecurity>
  <Paragraphs>147</Paragraphs>
  <ScaleCrop>false</ScaleCrop>
  <LinksUpToDate>false</LinksUpToDate>
  <CharactersWithSpaces>4092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2022-09-07T07:28:00Z</dcterms:created>
  <dc:creator>Administrator</dc:creator>
  <lastModifiedBy>2211133C</lastModifiedBy>
  <dcterms:modified xsi:type="dcterms:W3CDTF">2023-05-24T02:25:46Z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2586AA4F4EB54E4FB9853E51639BCE24</vt:lpwstr>
  </property>
</Properties>
</file>