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货物和服务项目询价文件</w:t>
      </w:r>
    </w:p>
    <w:p>
      <w:pPr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将乐县总医院安全分析与管理平台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招标人：将乐县总医院</w:t>
      </w:r>
      <w:r>
        <w:rPr>
          <w:rFonts w:hint="eastAsia"/>
          <w:b/>
          <w:bCs/>
          <w:sz w:val="32"/>
          <w:szCs w:val="32"/>
        </w:rPr>
        <w:tab/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日期：202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日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目录</w:t>
      </w:r>
    </w:p>
    <w:p>
      <w:pPr>
        <w:numPr>
          <w:ilvl w:val="0"/>
          <w:numId w:val="1"/>
        </w:num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询价公告</w:t>
      </w:r>
    </w:p>
    <w:p>
      <w:pPr>
        <w:numPr>
          <w:ilvl w:val="0"/>
          <w:numId w:val="1"/>
        </w:num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报价书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  询价公告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三明市将乐县总医院就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安全分析与管理平台</w:t>
      </w:r>
      <w:r>
        <w:rPr>
          <w:rFonts w:hint="eastAsia" w:ascii="宋体" w:hAnsi="宋体" w:eastAsia="宋体" w:cs="宋体"/>
          <w:sz w:val="28"/>
          <w:szCs w:val="28"/>
        </w:rPr>
        <w:t>进行公开询价，欢迎国内具有资质条件的供应商前来参加报价。</w:t>
      </w:r>
    </w:p>
    <w:p>
      <w:pPr>
        <w:numPr>
          <w:ilvl w:val="0"/>
          <w:numId w:val="2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将乐县总医院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安全分析与管理平台</w:t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二、项目内容及要求: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通过建立我院网络安全资产家底，将安全事件所处与资产进行关联，全面有效的建立网络安全态势感知抓手，能够提前感知安全风险，及时处置安全风险，有效提升我院网络安全防护水平。安全分析与管理平台功能需求如下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2.1安全分析与管理</w:t>
      </w:r>
      <w:r>
        <w:rPr>
          <w:b/>
          <w:bCs/>
          <w:sz w:val="28"/>
          <w:szCs w:val="28"/>
        </w:rPr>
        <w:t>平台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软硬一体化2U标准机架式设备， CPU≥24核，内存≥128GB ，硬盘容量≥48T， 1+1冗余电源，千兆电口≥4个，扩展槽≥5个，管理电口≥1个；全流量分析≥1Gbps、威胁检测模式≥5Gbps、日志≥200、数据采集和处理性能≥8000eps、MTBF：150000小时；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立体、平面、球面等多种维度的网络实体关系透视，点击每个实体可展示资产名称、风险评级、告警TOP3、最近异常发生时间等，点击实体间的访问连线可展示实体间访问方向、访问类型、累计流量、最近访问时间等。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将联动设备能力封装到APP，通过导入APP的方式实现和不同产品的联动，支持选择多台联动设备下发阻断策略；支持查看封禁设备数、封禁IP数、自动封禁IP数、本日解禁IP数、封禁订阅规则数、封禁SOAR剧本数，支持查看最近7天封禁IP趋势及防护设备封禁IP分布；支持封禁策略批量删除、解禁、导出；</w:t>
      </w:r>
    </w:p>
    <w:p>
      <w:pPr>
        <w:pStyle w:val="4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安全分析与管理平台支持与单位现有的防火墙实现联动处置，能够联动现有的防火墙并且下发阻断策略；策略支持设置3层递进阻断策略（如第一次阻断10分钟，第二次阻断30分钟，第三次永久阻断）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2.2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日志收集软件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支持不少于200个日志源数据接入；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内置5000+解析规则，支持对收集的5000+设备类型日志进行解析（标准化、归一化），解析维度多达200+，解析规则可以根据客户要求定制扩展。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对日志进行细粒度解析，解析后的日志根据具体日志包含但不限于：日期、发生时间、接收时间、设备类型、日志类型、日志来源、威胁值、源地址、目的地址、事件类型、时间范围、操作主体、操作对象、行为方式、技术动作、技术效果、攻击类型、特征类型、协议、地理信息（公网情况）；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可通过在目标主机上安装Agent程序，支持监测目标主机的CPU利用率、内存使用率、磁盘使用率、磁盘使用情况、流量等信息</w:t>
      </w:r>
    </w:p>
    <w:p>
      <w:pPr>
        <w:pStyle w:val="4"/>
        <w:numPr>
          <w:ilvl w:val="0"/>
          <w:numId w:val="4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支持通过资产、安全知识库、弱点库三个维度分析事件是否存在威胁，并形成关联事件</w:t>
      </w:r>
    </w:p>
    <w:p>
      <w:pPr>
        <w:pStyle w:val="4"/>
        <w:ind w:left="0" w:leftChars="0" w:firstLine="0"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流量探针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2U标准机架式，，内存≥16GB，硬盘≥2T，1+1冗余电源，管理口≥2千兆电，业务口≥4千兆电）；吞吐≥1Gbps；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具备端口扫描、主机存活扫描、服务扫描、Web扫描、扫描器指纹检测等600种以上的探测扫描检测规则，可针对任意单条规则进行启用和禁用。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威胁检测支持的规则总数37000种以上，且不断优化更新。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支持自定义流量采集策略，包括过滤策略和采集策略，支持根据IP和协议进行过滤，包括DNS、FTP、HTTP、HTTPS、IMAP、KRB5、LDAP、POP3、RDP、SMB、SMTP、SSH、TELNET、TLS等。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2.4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光电转换设备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固化10/100/1000M以太网电口≥8个，100/1000M SFP千兆光接口≥2个</w:t>
      </w:r>
      <w:r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交换容量≥256Gbps，包转发率≥37.2Mpps</w:t>
      </w:r>
      <w:r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存储温度需满足： -40℃~70℃，要求设备采用金属外壳和金属网口设计，且提供RJ45≥3个， SFP千兆光接口≥2个；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设备采用静音设计，噪声指标＜35dB</w:t>
      </w:r>
      <w:r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设备在受到外接机械碰撞时能够正常运行，要求设备IK防护测试级别至少达到IK05</w:t>
      </w:r>
      <w:r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支持端口浪涌抗扰度≥10KV（即具备10KV的防雷能力）</w:t>
      </w:r>
      <w:r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ascii="宋体" w:hAnsi="宋体" w:cs="等线"/>
          <w:b w:val="0"/>
          <w:bCs w:val="0"/>
          <w:color w:val="000000"/>
          <w:sz w:val="24"/>
          <w:szCs w:val="24"/>
          <w:lang w:eastAsia="zh-Hans"/>
        </w:rPr>
        <w:t>支持SNMP、NTP、TFTP、提供图形化管理界面</w:t>
      </w:r>
      <w:r>
        <w:rPr>
          <w:rFonts w:hint="eastAsia" w:ascii="宋体" w:hAnsi="宋体" w:cs="等线"/>
          <w:b w:val="0"/>
          <w:bCs w:val="0"/>
          <w:color w:val="000000"/>
          <w:sz w:val="24"/>
          <w:szCs w:val="24"/>
          <w:lang w:eastAsia="zh-CN"/>
        </w:rPr>
        <w:t>；</w:t>
      </w:r>
    </w:p>
    <w:p>
      <w:pPr>
        <w:pStyle w:val="4"/>
        <w:numPr>
          <w:ilvl w:val="0"/>
          <w:numId w:val="6"/>
        </w:numPr>
        <w:ind w:leftChars="0"/>
        <w:rPr>
          <w:rFonts w:hint="eastAsia" w:ascii="宋体" w:hAnsi="宋体" w:eastAsia="宋体" w:cs="等线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等线"/>
          <w:b w:val="0"/>
          <w:bCs w:val="0"/>
          <w:color w:val="000000"/>
          <w:sz w:val="24"/>
          <w:szCs w:val="24"/>
          <w:lang w:eastAsia="zh-Hans"/>
        </w:rPr>
        <w:t>支持</w:t>
      </w:r>
      <w:r>
        <w:rPr>
          <w:rFonts w:ascii="宋体" w:hAnsi="宋体" w:eastAsia="宋体" w:cs="等线"/>
          <w:b w:val="0"/>
          <w:bCs w:val="0"/>
          <w:color w:val="000000"/>
          <w:sz w:val="24"/>
          <w:szCs w:val="24"/>
          <w:lang w:eastAsia="zh-Hans"/>
        </w:rPr>
        <w:t>IEEE 802.3az标准的EEE节能技术</w:t>
      </w:r>
      <w:r>
        <w:rPr>
          <w:rFonts w:hint="eastAsia" w:ascii="宋体" w:hAnsi="宋体" w:eastAsia="宋体" w:cs="等线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三、被询价人的资格要求：符合《中华人民共和国政府采购法》第二十二条、二十四条及本询价文件规定条件的供应商。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四、报价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1.1报价以人民币为结算货币。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1.2报价为包含税价、货物运送、人工等费用;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1.3被询价人应慎重合理确定利润，自主报价，不得盲目压价，低于成本恶性竞争。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1.4报价总金额到元为止。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五、报价书的递交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报价书递交的截止时间(投标截止时间):202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日18时00分，提交地点为三明市将乐县总医院信息科（第二综合楼六楼）；报价书要求密封包装并加盖单位公章，邮寄或当面递交。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六、联系方式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址:三明市将乐县三华南路43号（将乐县总医院信息科）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邮编:353300    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0598-5020252</w:t>
      </w:r>
      <w:r>
        <w:rPr>
          <w:rFonts w:hint="eastAsia" w:ascii="宋体" w:hAnsi="宋体" w:eastAsia="宋体" w:cs="宋体"/>
          <w:sz w:val="28"/>
          <w:szCs w:val="28"/>
        </w:rPr>
        <w:t xml:space="preserve">   联系人：小姜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7"/>
        </w:num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报价书需附上建设方案或系统功能详细说明。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 报价书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根据贵方为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项目的询价函，本签字代表(全名、职务)正式授权并代表被询价人提交下述报价: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据此函，签字代表宣布同意如下: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1.所附询价文件中规定的应提供的货物(服务)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合同包报价总价为人民币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1.被询价人已详细审查全部询价文件，将自行承担因对全部询价文件理解不正确或误解而产生的相应后果。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4.与本询价有关的一切正式往来通讯请寄: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_                    </w:t>
      </w: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传真: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被询价人代表签字: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被询价人（全称并加盖公章）：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日期：   年   月    日</w:t>
      </w:r>
    </w:p>
    <w:p>
      <w:pPr>
        <w:rPr>
          <w:rFonts w:ascii="宋体" w:hAnsi="宋体" w:eastAsia="宋体" w:cs="宋体"/>
          <w:sz w:val="28"/>
          <w:szCs w:val="28"/>
          <w:u w:val="single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  <w:u w:val="single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19AA8"/>
    <w:multiLevelType w:val="singleLevel"/>
    <w:tmpl w:val="04019AA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71467D"/>
    <w:multiLevelType w:val="singleLevel"/>
    <w:tmpl w:val="1471467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37CB17E2"/>
    <w:multiLevelType w:val="multilevel"/>
    <w:tmpl w:val="37CB17E2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44D81B67"/>
    <w:multiLevelType w:val="singleLevel"/>
    <w:tmpl w:val="44D81B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9505427"/>
    <w:multiLevelType w:val="multilevel"/>
    <w:tmpl w:val="49505427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4C2573B8"/>
    <w:multiLevelType w:val="multilevel"/>
    <w:tmpl w:val="4C2573B8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4FFCE9B7"/>
    <w:multiLevelType w:val="singleLevel"/>
    <w:tmpl w:val="4FFCE9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Tc3NTM5ZWJiMmM3ZDNiMzMxNjdjNDk3NTNlMTgifQ=="/>
  </w:docVars>
  <w:rsids>
    <w:rsidRoot w:val="659A4FE6"/>
    <w:rsid w:val="659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1981</Words>
  <Characters>2239</Characters>
  <Lines>0</Lines>
  <Paragraphs>0</Paragraphs>
  <TotalTime>0</TotalTime>
  <ScaleCrop>false</ScaleCrop>
  <LinksUpToDate>false</LinksUpToDate>
  <CharactersWithSpaces>2477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2023-05-25T01:05:00Z</dcterms:created>
  <dc:creator>嚴晓寶 </dc:creator>
  <cp:lastModifiedBy>嚴晓寶 </cp:lastModifiedBy>
  <dcterms:modified xsi:type="dcterms:W3CDTF">2023-05-25T01:05:51Z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4DBEEE27B1494F60891FF3F8CEA661C7_11</vt:lpwstr>
  </property>
</Properties>
</file>